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5" w:type="pct"/>
        <w:jc w:val="center"/>
        <w:tblLayout w:type="fixed"/>
        <w:tblLook w:val="04A0" w:firstRow="1" w:lastRow="0" w:firstColumn="1" w:lastColumn="0" w:noHBand="0" w:noVBand="1"/>
      </w:tblPr>
      <w:tblGrid>
        <w:gridCol w:w="657"/>
        <w:gridCol w:w="1048"/>
        <w:gridCol w:w="953"/>
        <w:gridCol w:w="974"/>
        <w:gridCol w:w="987"/>
        <w:gridCol w:w="978"/>
        <w:gridCol w:w="116"/>
        <w:gridCol w:w="1350"/>
        <w:gridCol w:w="8211"/>
      </w:tblGrid>
      <w:tr w:rsidR="00DF2230" w:rsidTr="004020E1">
        <w:trPr>
          <w:trHeight w:val="885"/>
          <w:jc w:val="center"/>
        </w:trPr>
        <w:tc>
          <w:tcPr>
            <w:tcW w:w="5000" w:type="pct"/>
            <w:gridSpan w:val="9"/>
            <w:tcBorders>
              <w:top w:val="nil"/>
              <w:left w:val="nil"/>
              <w:bottom w:val="nil"/>
              <w:right w:val="nil"/>
            </w:tcBorders>
            <w:shd w:val="clear" w:color="auto" w:fill="auto"/>
            <w:noWrap/>
            <w:vAlign w:val="center"/>
          </w:tcPr>
          <w:p w:rsidR="00DF2230" w:rsidRDefault="004020E1">
            <w:pPr>
              <w:widowControl/>
              <w:jc w:val="center"/>
              <w:textAlignment w:val="center"/>
              <w:rPr>
                <w:rFonts w:ascii="方正小标宋简体" w:eastAsia="方正小标宋简体" w:hAnsi="方正小标宋简体" w:cs="方正小标宋简体"/>
                <w:color w:val="000000"/>
                <w:sz w:val="48"/>
                <w:szCs w:val="48"/>
              </w:rPr>
            </w:pPr>
            <w:r>
              <w:rPr>
                <w:rFonts w:ascii="方正小标宋简体" w:eastAsia="方正小标宋简体" w:hAnsi="方正小标宋简体" w:cs="方正小标宋简体" w:hint="eastAsia"/>
                <w:color w:val="000000"/>
                <w:kern w:val="0"/>
                <w:sz w:val="44"/>
                <w:szCs w:val="44"/>
                <w:lang w:bidi="ar"/>
              </w:rPr>
              <w:t>滨海新区司法局</w:t>
            </w:r>
            <w:r>
              <w:rPr>
                <w:rFonts w:ascii="方正小标宋简体" w:eastAsia="方正小标宋简体" w:hAnsi="方正小标宋简体" w:cs="方正小标宋简体" w:hint="eastAsia"/>
                <w:color w:val="000000"/>
                <w:kern w:val="0"/>
                <w:sz w:val="44"/>
                <w:szCs w:val="44"/>
                <w:lang w:bidi="ar"/>
              </w:rPr>
              <w:t>2023</w:t>
            </w:r>
            <w:r>
              <w:rPr>
                <w:rFonts w:ascii="方正小标宋简体" w:eastAsia="方正小标宋简体" w:hAnsi="方正小标宋简体" w:cs="方正小标宋简体" w:hint="eastAsia"/>
                <w:color w:val="000000"/>
                <w:kern w:val="0"/>
                <w:sz w:val="44"/>
                <w:szCs w:val="44"/>
                <w:lang w:bidi="ar"/>
              </w:rPr>
              <w:t>年度随机抽查事项清单</w:t>
            </w:r>
          </w:p>
        </w:tc>
      </w:tr>
      <w:tr w:rsidR="00DF2230" w:rsidTr="004020E1">
        <w:trPr>
          <w:trHeight w:val="545"/>
          <w:jc w:val="center"/>
        </w:trPr>
        <w:tc>
          <w:tcPr>
            <w:tcW w:w="2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序号</w:t>
            </w:r>
          </w:p>
        </w:tc>
        <w:tc>
          <w:tcPr>
            <w:tcW w:w="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抽查项目</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0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检查</w:t>
            </w:r>
          </w:p>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对象</w:t>
            </w:r>
          </w:p>
        </w:tc>
        <w:tc>
          <w:tcPr>
            <w:tcW w:w="32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F2230" w:rsidRDefault="004020E1">
            <w:pPr>
              <w:widowControl/>
              <w:spacing w:line="40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事项</w:t>
            </w:r>
          </w:p>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类别</w:t>
            </w:r>
          </w:p>
        </w:tc>
        <w:tc>
          <w:tcPr>
            <w:tcW w:w="32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F2230" w:rsidRDefault="004020E1">
            <w:pPr>
              <w:widowControl/>
              <w:spacing w:line="40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检查</w:t>
            </w:r>
          </w:p>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方式</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检查主体</w:t>
            </w:r>
          </w:p>
        </w:tc>
        <w:tc>
          <w:tcPr>
            <w:tcW w:w="268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检查依据</w:t>
            </w:r>
          </w:p>
        </w:tc>
      </w:tr>
      <w:tr w:rsidR="00DF2230" w:rsidTr="004020E1">
        <w:trPr>
          <w:trHeight w:val="766"/>
          <w:jc w:val="center"/>
        </w:trPr>
        <w:tc>
          <w:tcPr>
            <w:tcW w:w="2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DF2230">
            <w:pPr>
              <w:widowControl/>
              <w:spacing w:line="400" w:lineRule="exact"/>
              <w:jc w:val="center"/>
              <w:rPr>
                <w:rFonts w:ascii="仿宋" w:eastAsia="仿宋" w:hAnsi="仿宋" w:cs="仿宋"/>
                <w:color w:val="000000"/>
                <w:sz w:val="28"/>
                <w:szCs w:val="28"/>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0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抽查</w:t>
            </w:r>
          </w:p>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大类</w:t>
            </w:r>
          </w:p>
        </w:tc>
        <w:tc>
          <w:tcPr>
            <w:tcW w:w="3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F2230" w:rsidRDefault="004020E1">
            <w:pPr>
              <w:widowControl/>
              <w:spacing w:line="400" w:lineRule="exact"/>
              <w:jc w:val="center"/>
              <w:textAlignment w:val="center"/>
              <w:rPr>
                <w:rFonts w:ascii="黑体" w:eastAsia="黑体" w:hAnsi="黑体" w:cs="黑体"/>
                <w:color w:val="000000"/>
                <w:kern w:val="0"/>
                <w:sz w:val="28"/>
                <w:szCs w:val="28"/>
                <w:lang w:bidi="ar"/>
              </w:rPr>
            </w:pPr>
            <w:r>
              <w:rPr>
                <w:rFonts w:ascii="黑体" w:eastAsia="黑体" w:hAnsi="黑体" w:cs="黑体" w:hint="eastAsia"/>
                <w:color w:val="000000"/>
                <w:kern w:val="0"/>
                <w:sz w:val="28"/>
                <w:szCs w:val="28"/>
                <w:lang w:bidi="ar"/>
              </w:rPr>
              <w:t>抽查</w:t>
            </w:r>
          </w:p>
          <w:p w:rsidR="00DF2230" w:rsidRDefault="004020E1">
            <w:pPr>
              <w:widowControl/>
              <w:spacing w:line="400" w:lineRule="exact"/>
              <w:jc w:val="center"/>
              <w:textAlignment w:val="center"/>
              <w:rPr>
                <w:rFonts w:ascii="黑体" w:eastAsia="黑体" w:hAnsi="黑体" w:cs="黑体"/>
                <w:color w:val="000000"/>
                <w:sz w:val="28"/>
                <w:szCs w:val="28"/>
              </w:rPr>
            </w:pPr>
            <w:r>
              <w:rPr>
                <w:rFonts w:ascii="黑体" w:eastAsia="黑体" w:hAnsi="黑体" w:cs="黑体" w:hint="eastAsia"/>
                <w:color w:val="000000"/>
                <w:kern w:val="0"/>
                <w:sz w:val="28"/>
                <w:szCs w:val="28"/>
                <w:lang w:bidi="ar"/>
              </w:rPr>
              <w:t>事项</w:t>
            </w:r>
          </w:p>
        </w:tc>
        <w:tc>
          <w:tcPr>
            <w:tcW w:w="3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DF2230">
            <w:pPr>
              <w:widowControl/>
              <w:spacing w:line="400" w:lineRule="exact"/>
              <w:jc w:val="center"/>
              <w:rPr>
                <w:rFonts w:ascii="仿宋" w:eastAsia="仿宋" w:hAnsi="仿宋" w:cs="仿宋"/>
                <w:color w:val="000000"/>
                <w:sz w:val="28"/>
                <w:szCs w:val="28"/>
              </w:rPr>
            </w:pPr>
          </w:p>
        </w:tc>
        <w:tc>
          <w:tcPr>
            <w:tcW w:w="32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F2230" w:rsidRDefault="00DF2230">
            <w:pPr>
              <w:widowControl/>
              <w:spacing w:line="400" w:lineRule="exact"/>
              <w:jc w:val="center"/>
              <w:rPr>
                <w:rFonts w:ascii="仿宋" w:eastAsia="仿宋" w:hAnsi="仿宋" w:cs="仿宋"/>
                <w:color w:val="000000"/>
                <w:sz w:val="28"/>
                <w:szCs w:val="28"/>
              </w:rPr>
            </w:pPr>
          </w:p>
        </w:tc>
        <w:tc>
          <w:tcPr>
            <w:tcW w:w="32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F2230" w:rsidRDefault="00DF2230">
            <w:pPr>
              <w:widowControl/>
              <w:spacing w:line="400" w:lineRule="exact"/>
              <w:jc w:val="center"/>
              <w:rPr>
                <w:rFonts w:ascii="仿宋" w:eastAsia="仿宋" w:hAnsi="仿宋" w:cs="仿宋"/>
                <w:color w:val="000000"/>
                <w:sz w:val="28"/>
                <w:szCs w:val="28"/>
              </w:rPr>
            </w:pPr>
          </w:p>
        </w:tc>
        <w:tc>
          <w:tcPr>
            <w:tcW w:w="480"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DF2230">
            <w:pPr>
              <w:widowControl/>
              <w:spacing w:line="400" w:lineRule="exact"/>
              <w:jc w:val="center"/>
              <w:rPr>
                <w:rFonts w:ascii="仿宋" w:eastAsia="仿宋" w:hAnsi="仿宋" w:cs="仿宋"/>
                <w:color w:val="000000"/>
                <w:sz w:val="28"/>
                <w:szCs w:val="28"/>
              </w:rPr>
            </w:pPr>
          </w:p>
        </w:tc>
        <w:tc>
          <w:tcPr>
            <w:tcW w:w="268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F2230" w:rsidRDefault="00DF2230">
            <w:pPr>
              <w:widowControl/>
              <w:spacing w:line="400" w:lineRule="exact"/>
              <w:jc w:val="center"/>
              <w:rPr>
                <w:rFonts w:ascii="仿宋" w:eastAsia="仿宋" w:hAnsi="仿宋" w:cs="仿宋"/>
                <w:color w:val="000000"/>
                <w:sz w:val="28"/>
                <w:szCs w:val="28"/>
              </w:rPr>
            </w:pPr>
          </w:p>
        </w:tc>
      </w:tr>
      <w:tr w:rsidR="00DF2230" w:rsidTr="004020E1">
        <w:trPr>
          <w:trHeight w:val="1701"/>
          <w:jc w:val="center"/>
        </w:trPr>
        <w:tc>
          <w:tcPr>
            <w:tcW w:w="215" w:type="pct"/>
            <w:tcBorders>
              <w:top w:val="single" w:sz="4" w:space="0" w:color="000000"/>
              <w:left w:val="single" w:sz="4" w:space="0" w:color="000000"/>
              <w:bottom w:val="nil"/>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1</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律师</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事务</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所</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执业</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情况</w:t>
            </w:r>
          </w:p>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检查</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律师</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事务</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所</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执业</w:t>
            </w:r>
          </w:p>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情况</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律师</w:t>
            </w:r>
          </w:p>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事务所</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一般</w:t>
            </w:r>
          </w:p>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检查</w:t>
            </w:r>
          </w:p>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事项</w:t>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现场</w:t>
            </w:r>
          </w:p>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检查</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区级司法</w:t>
            </w:r>
          </w:p>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行政机关</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80" w:lineRule="exact"/>
              <w:jc w:val="left"/>
              <w:textAlignment w:val="center"/>
              <w:rPr>
                <w:rFonts w:ascii="仿宋" w:eastAsia="仿宋" w:hAnsi="仿宋" w:cs="仿宋"/>
                <w:color w:val="000000"/>
                <w:sz w:val="28"/>
                <w:szCs w:val="28"/>
              </w:rPr>
            </w:pPr>
            <w:r>
              <w:rPr>
                <w:rStyle w:val="font01"/>
                <w:rFonts w:ascii="仿宋" w:eastAsia="仿宋" w:hAnsi="仿宋" w:cs="仿宋"/>
                <w:sz w:val="28"/>
                <w:szCs w:val="28"/>
                <w:lang w:bidi="ar"/>
              </w:rPr>
              <w:t>《律师事务所管理办法》（</w:t>
            </w:r>
            <w:r>
              <w:rPr>
                <w:rStyle w:val="font01"/>
                <w:rFonts w:ascii="仿宋" w:eastAsia="仿宋" w:hAnsi="仿宋" w:cs="仿宋"/>
                <w:sz w:val="28"/>
                <w:szCs w:val="28"/>
                <w:lang w:bidi="ar"/>
              </w:rPr>
              <w:t>2018</w:t>
            </w:r>
            <w:r>
              <w:rPr>
                <w:rStyle w:val="font01"/>
                <w:rFonts w:ascii="仿宋" w:eastAsia="仿宋" w:hAnsi="仿宋" w:cs="仿宋"/>
                <w:sz w:val="28"/>
                <w:szCs w:val="28"/>
                <w:lang w:bidi="ar"/>
              </w:rPr>
              <w:t>年</w:t>
            </w:r>
            <w:r>
              <w:rPr>
                <w:rStyle w:val="font01"/>
                <w:rFonts w:ascii="仿宋" w:eastAsia="仿宋" w:hAnsi="仿宋" w:cs="仿宋"/>
                <w:sz w:val="28"/>
                <w:szCs w:val="28"/>
                <w:lang w:bidi="ar"/>
              </w:rPr>
              <w:t xml:space="preserve"> </w:t>
            </w:r>
            <w:r>
              <w:rPr>
                <w:rStyle w:val="font01"/>
                <w:rFonts w:ascii="仿宋" w:eastAsia="仿宋" w:hAnsi="仿宋" w:cs="仿宋"/>
                <w:sz w:val="28"/>
                <w:szCs w:val="28"/>
                <w:lang w:bidi="ar"/>
              </w:rPr>
              <w:t>司法部令第</w:t>
            </w:r>
            <w:r>
              <w:rPr>
                <w:rStyle w:val="font01"/>
                <w:rFonts w:ascii="仿宋" w:eastAsia="仿宋" w:hAnsi="仿宋" w:cs="仿宋"/>
                <w:sz w:val="28"/>
                <w:szCs w:val="28"/>
                <w:lang w:bidi="ar"/>
              </w:rPr>
              <w:t>142</w:t>
            </w:r>
            <w:r>
              <w:rPr>
                <w:rStyle w:val="font01"/>
                <w:rFonts w:ascii="仿宋" w:eastAsia="仿宋" w:hAnsi="仿宋" w:cs="仿宋"/>
                <w:sz w:val="28"/>
                <w:szCs w:val="28"/>
                <w:lang w:bidi="ar"/>
              </w:rPr>
              <w:t>号）</w:t>
            </w:r>
            <w:r>
              <w:rPr>
                <w:rStyle w:val="font11"/>
                <w:rFonts w:ascii="仿宋" w:eastAsia="仿宋" w:hAnsi="仿宋" w:cs="仿宋"/>
                <w:sz w:val="28"/>
                <w:szCs w:val="28"/>
                <w:lang w:bidi="ar"/>
              </w:rPr>
              <w:br/>
            </w:r>
            <w:r>
              <w:rPr>
                <w:rStyle w:val="font11"/>
                <w:rFonts w:ascii="仿宋" w:eastAsia="仿宋" w:hAnsi="仿宋" w:cs="仿宋"/>
                <w:sz w:val="28"/>
                <w:szCs w:val="28"/>
                <w:lang w:bidi="ar"/>
              </w:rPr>
              <w:t>第六十五条第一款第（二）项和第（五）项</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设区的市级司法行政机关履行下列监督管理职责：（二）指导、监督下一级司法行政机关的日常监督管理工作，组织开展对律师事务所的专项监督检查工作，指导对律师事务所重大投诉案件的查处工作；（五）组织开展对律师事务所的年度检查考核工作。</w:t>
            </w:r>
            <w:r>
              <w:rPr>
                <w:rStyle w:val="font11"/>
                <w:rFonts w:ascii="仿宋" w:eastAsia="仿宋" w:hAnsi="仿宋" w:cs="仿宋"/>
                <w:sz w:val="28"/>
                <w:szCs w:val="28"/>
                <w:lang w:bidi="ar"/>
              </w:rPr>
              <w:br/>
              <w:t xml:space="preserve">    </w:t>
            </w:r>
            <w:r>
              <w:rPr>
                <w:rStyle w:val="font11"/>
                <w:rFonts w:ascii="仿宋" w:eastAsia="仿宋" w:hAnsi="仿宋" w:cs="仿宋"/>
                <w:sz w:val="28"/>
                <w:szCs w:val="28"/>
                <w:lang w:bidi="ar"/>
              </w:rPr>
              <w:t>第六十五条第二款</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直辖市的区（县）司法行政机关负有前款规定的有关职责。</w:t>
            </w:r>
          </w:p>
        </w:tc>
      </w:tr>
      <w:tr w:rsidR="00DF2230" w:rsidTr="004020E1">
        <w:trPr>
          <w:trHeight w:val="1701"/>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2</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基层法律服务所执业情况检查</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基层法律服务所执业情况</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基层法律服务所</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一般检查事项</w:t>
            </w:r>
          </w:p>
        </w:tc>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现场检查</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区级司法行政机关</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480" w:lineRule="exact"/>
              <w:jc w:val="left"/>
              <w:textAlignment w:val="center"/>
              <w:rPr>
                <w:rFonts w:ascii="仿宋" w:eastAsia="仿宋" w:hAnsi="仿宋" w:cs="仿宋"/>
                <w:color w:val="000000"/>
                <w:sz w:val="28"/>
                <w:szCs w:val="28"/>
              </w:rPr>
            </w:pPr>
            <w:r>
              <w:rPr>
                <w:rStyle w:val="font01"/>
                <w:rFonts w:ascii="仿宋" w:eastAsia="仿宋" w:hAnsi="仿宋" w:cs="仿宋"/>
                <w:sz w:val="28"/>
                <w:szCs w:val="28"/>
                <w:lang w:bidi="ar"/>
              </w:rPr>
              <w:t>《基层法律服务所管理办法》（</w:t>
            </w:r>
            <w:r>
              <w:rPr>
                <w:rStyle w:val="font01"/>
                <w:rFonts w:ascii="仿宋" w:eastAsia="仿宋" w:hAnsi="仿宋" w:cs="仿宋"/>
                <w:sz w:val="28"/>
                <w:szCs w:val="28"/>
                <w:lang w:bidi="ar"/>
              </w:rPr>
              <w:t>2017</w:t>
            </w:r>
            <w:r>
              <w:rPr>
                <w:rStyle w:val="font01"/>
                <w:rFonts w:ascii="仿宋" w:eastAsia="仿宋" w:hAnsi="仿宋" w:cs="仿宋"/>
                <w:sz w:val="28"/>
                <w:szCs w:val="28"/>
                <w:lang w:bidi="ar"/>
              </w:rPr>
              <w:t>年</w:t>
            </w:r>
            <w:r>
              <w:rPr>
                <w:rStyle w:val="font01"/>
                <w:rFonts w:ascii="仿宋" w:eastAsia="仿宋" w:hAnsi="仿宋" w:cs="仿宋"/>
                <w:sz w:val="28"/>
                <w:szCs w:val="28"/>
                <w:lang w:bidi="ar"/>
              </w:rPr>
              <w:t xml:space="preserve"> </w:t>
            </w:r>
            <w:r>
              <w:rPr>
                <w:rStyle w:val="font01"/>
                <w:rFonts w:ascii="仿宋" w:eastAsia="仿宋" w:hAnsi="仿宋" w:cs="仿宋"/>
                <w:sz w:val="28"/>
                <w:szCs w:val="28"/>
                <w:lang w:bidi="ar"/>
              </w:rPr>
              <w:t>司法部令第</w:t>
            </w:r>
            <w:r>
              <w:rPr>
                <w:rStyle w:val="font01"/>
                <w:rFonts w:ascii="仿宋" w:eastAsia="仿宋" w:hAnsi="仿宋" w:cs="仿宋"/>
                <w:sz w:val="28"/>
                <w:szCs w:val="28"/>
                <w:lang w:bidi="ar"/>
              </w:rPr>
              <w:t>137</w:t>
            </w:r>
            <w:r>
              <w:rPr>
                <w:rStyle w:val="font01"/>
                <w:rFonts w:ascii="仿宋" w:eastAsia="仿宋" w:hAnsi="仿宋" w:cs="仿宋"/>
                <w:sz w:val="28"/>
                <w:szCs w:val="28"/>
                <w:lang w:bidi="ar"/>
              </w:rPr>
              <w:t>号）</w:t>
            </w:r>
            <w:r>
              <w:rPr>
                <w:rStyle w:val="font11"/>
                <w:rFonts w:ascii="仿宋" w:eastAsia="仿宋" w:hAnsi="仿宋" w:cs="仿宋"/>
                <w:sz w:val="28"/>
                <w:szCs w:val="28"/>
                <w:lang w:bidi="ar"/>
              </w:rPr>
              <w:br/>
            </w:r>
            <w:r>
              <w:rPr>
                <w:rStyle w:val="font11"/>
                <w:rFonts w:ascii="仿宋" w:eastAsia="仿宋" w:hAnsi="仿宋" w:cs="仿宋"/>
                <w:sz w:val="28"/>
                <w:szCs w:val="28"/>
                <w:lang w:bidi="ar"/>
              </w:rPr>
              <w:t>第三十四条</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p>
        </w:tc>
      </w:tr>
      <w:tr w:rsidR="00DF2230" w:rsidTr="004020E1">
        <w:trPr>
          <w:trHeight w:val="1701"/>
          <w:jc w:val="center"/>
        </w:trPr>
        <w:tc>
          <w:tcPr>
            <w:tcW w:w="215" w:type="pct"/>
            <w:tcBorders>
              <w:top w:val="single" w:sz="4" w:space="0" w:color="000000"/>
              <w:left w:val="single" w:sz="4" w:space="0" w:color="000000"/>
              <w:bottom w:val="nil"/>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3</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公证</w:t>
            </w:r>
          </w:p>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机构</w:t>
            </w:r>
          </w:p>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执业</w:t>
            </w:r>
          </w:p>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情况</w:t>
            </w:r>
          </w:p>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检查</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公证机构执业情况</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公证机构</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一般检查事项</w:t>
            </w:r>
          </w:p>
        </w:tc>
        <w:tc>
          <w:tcPr>
            <w:tcW w:w="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现场</w:t>
            </w:r>
          </w:p>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检查</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市级司法</w:t>
            </w:r>
          </w:p>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行政机关</w:t>
            </w:r>
          </w:p>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区级司法</w:t>
            </w:r>
          </w:p>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行政机关</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textAlignment w:val="center"/>
              <w:rPr>
                <w:rFonts w:ascii="仿宋" w:eastAsia="仿宋" w:hAnsi="仿宋" w:cs="仿宋"/>
                <w:color w:val="000000"/>
                <w:sz w:val="28"/>
                <w:szCs w:val="28"/>
              </w:rPr>
            </w:pPr>
            <w:r>
              <w:rPr>
                <w:rStyle w:val="font01"/>
                <w:rFonts w:ascii="仿宋" w:eastAsia="仿宋" w:hAnsi="仿宋" w:cs="仿宋"/>
                <w:sz w:val="28"/>
                <w:szCs w:val="28"/>
                <w:lang w:bidi="ar"/>
              </w:rPr>
              <w:t>《公证机构执业管理办法》（</w:t>
            </w:r>
            <w:r>
              <w:rPr>
                <w:rStyle w:val="font01"/>
                <w:rFonts w:ascii="仿宋" w:eastAsia="仿宋" w:hAnsi="仿宋" w:cs="仿宋"/>
                <w:sz w:val="28"/>
                <w:szCs w:val="28"/>
                <w:lang w:bidi="ar"/>
              </w:rPr>
              <w:t>2006</w:t>
            </w:r>
            <w:r>
              <w:rPr>
                <w:rStyle w:val="font01"/>
                <w:rFonts w:ascii="仿宋" w:eastAsia="仿宋" w:hAnsi="仿宋" w:cs="仿宋"/>
                <w:sz w:val="28"/>
                <w:szCs w:val="28"/>
                <w:lang w:bidi="ar"/>
              </w:rPr>
              <w:t>年</w:t>
            </w:r>
            <w:r>
              <w:rPr>
                <w:rStyle w:val="font01"/>
                <w:rFonts w:ascii="仿宋" w:eastAsia="仿宋" w:hAnsi="仿宋" w:cs="仿宋"/>
                <w:sz w:val="28"/>
                <w:szCs w:val="28"/>
                <w:lang w:bidi="ar"/>
              </w:rPr>
              <w:t xml:space="preserve"> </w:t>
            </w:r>
            <w:r>
              <w:rPr>
                <w:rStyle w:val="font01"/>
                <w:rFonts w:ascii="仿宋" w:eastAsia="仿宋" w:hAnsi="仿宋" w:cs="仿宋"/>
                <w:sz w:val="28"/>
                <w:szCs w:val="28"/>
                <w:lang w:bidi="ar"/>
              </w:rPr>
              <w:t>司法部令第</w:t>
            </w:r>
            <w:r>
              <w:rPr>
                <w:rStyle w:val="font01"/>
                <w:rFonts w:ascii="仿宋" w:eastAsia="仿宋" w:hAnsi="仿宋" w:cs="仿宋"/>
                <w:sz w:val="28"/>
                <w:szCs w:val="28"/>
                <w:lang w:bidi="ar"/>
              </w:rPr>
              <w:t>101</w:t>
            </w:r>
            <w:r>
              <w:rPr>
                <w:rStyle w:val="font01"/>
                <w:rFonts w:ascii="仿宋" w:eastAsia="仿宋" w:hAnsi="仿宋" w:cs="仿宋"/>
                <w:sz w:val="28"/>
                <w:szCs w:val="28"/>
                <w:lang w:bidi="ar"/>
              </w:rPr>
              <w:t>号）</w:t>
            </w:r>
            <w:r>
              <w:rPr>
                <w:rStyle w:val="font11"/>
                <w:rFonts w:ascii="仿宋" w:eastAsia="仿宋" w:hAnsi="仿宋" w:cs="仿宋"/>
                <w:sz w:val="28"/>
                <w:szCs w:val="28"/>
                <w:lang w:bidi="ar"/>
              </w:rPr>
              <w:br/>
            </w:r>
            <w:r>
              <w:rPr>
                <w:rStyle w:val="font11"/>
                <w:rFonts w:ascii="仿宋" w:eastAsia="仿宋" w:hAnsi="仿宋" w:cs="仿宋"/>
                <w:sz w:val="28"/>
                <w:szCs w:val="28"/>
                <w:lang w:bidi="ar"/>
              </w:rPr>
              <w:t>第二十五条</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省、自治区、直辖市司法行政机关对公证机构的下列事项实施监督：（一）公证机构保持法定设立条件的情况；（二）公证机构执行应当报批或者备案事项的情况；（三）公证机构和公证员的执业情况；（四）公证质量的监控情况；（五）法律、法规和司法部规定的其他监督检查事项。</w:t>
            </w:r>
            <w:r>
              <w:rPr>
                <w:rStyle w:val="font11"/>
                <w:rFonts w:ascii="仿宋" w:eastAsia="仿宋" w:hAnsi="仿宋" w:cs="仿宋"/>
                <w:sz w:val="28"/>
                <w:szCs w:val="28"/>
                <w:lang w:bidi="ar"/>
              </w:rPr>
              <w:br/>
            </w:r>
            <w:r>
              <w:rPr>
                <w:rStyle w:val="font11"/>
                <w:rFonts w:ascii="仿宋" w:eastAsia="仿宋" w:hAnsi="仿宋" w:cs="仿宋"/>
                <w:sz w:val="28"/>
                <w:szCs w:val="28"/>
                <w:lang w:bidi="ar"/>
              </w:rPr>
              <w:t>第二十六条　设区的市和公证机构所在地司法行政机关对本地公证机构的下列事项实施监督：（一）组织建设情况；（二）执业活动情况；（三）公证质量情况；（四）公证员执业年度考核情况；（五）档案管理情况；（六）财务制度执行情况；（七）内部管理制度建设情况；（</w:t>
            </w:r>
            <w:r>
              <w:rPr>
                <w:rStyle w:val="font11"/>
                <w:rFonts w:ascii="仿宋" w:eastAsia="仿宋" w:hAnsi="仿宋" w:cs="仿宋"/>
                <w:sz w:val="28"/>
                <w:szCs w:val="28"/>
                <w:lang w:bidi="ar"/>
              </w:rPr>
              <w:t>八）司法部和省、自治区、直辖市司法行政机关要求进行监督检查的其他事项。</w:t>
            </w:r>
            <w:r>
              <w:rPr>
                <w:rStyle w:val="font11"/>
                <w:rFonts w:ascii="仿宋" w:eastAsia="仿宋" w:hAnsi="仿宋" w:cs="仿宋"/>
                <w:sz w:val="28"/>
                <w:szCs w:val="28"/>
                <w:lang w:bidi="ar"/>
              </w:rPr>
              <w:br/>
            </w:r>
            <w:r>
              <w:rPr>
                <w:rStyle w:val="font11"/>
                <w:rFonts w:ascii="仿宋" w:eastAsia="仿宋" w:hAnsi="仿宋" w:cs="仿宋"/>
                <w:sz w:val="28"/>
                <w:szCs w:val="28"/>
                <w:lang w:bidi="ar"/>
              </w:rPr>
              <w:t>第三十四条第一款</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司法行政机关实施监督检查，可以对公证机构进行实地检查，要求公证机构和公证员说明有关情况，调阅公证机构相关材料和公证档案，向相关单位和人员调查核实有关情况。</w:t>
            </w:r>
          </w:p>
        </w:tc>
      </w:tr>
      <w:tr w:rsidR="00DF2230" w:rsidTr="004020E1">
        <w:trPr>
          <w:trHeight w:val="274"/>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4</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司法鉴定机构执业情况检查</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司法鉴定机构执业情况</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司法鉴定机构</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一般检查事项</w:t>
            </w:r>
          </w:p>
        </w:tc>
        <w:tc>
          <w:tcPr>
            <w:tcW w:w="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现场检查</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市级司法行政机关</w:t>
            </w:r>
          </w:p>
          <w:p w:rsidR="00DF2230" w:rsidRDefault="004020E1">
            <w:pPr>
              <w:widowControl/>
              <w:spacing w:line="38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区级司法行政机关</w:t>
            </w:r>
          </w:p>
        </w:tc>
        <w:tc>
          <w:tcPr>
            <w:tcW w:w="2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2230" w:rsidRDefault="004020E1">
            <w:pPr>
              <w:widowControl/>
              <w:spacing w:line="380" w:lineRule="exact"/>
              <w:textAlignment w:val="center"/>
              <w:rPr>
                <w:rFonts w:ascii="仿宋" w:eastAsia="仿宋" w:hAnsi="仿宋" w:cs="仿宋"/>
                <w:color w:val="000000"/>
                <w:sz w:val="28"/>
                <w:szCs w:val="28"/>
              </w:rPr>
            </w:pPr>
            <w:r>
              <w:rPr>
                <w:rStyle w:val="font01"/>
                <w:rFonts w:ascii="仿宋" w:eastAsia="仿宋" w:hAnsi="仿宋" w:cs="仿宋"/>
                <w:sz w:val="28"/>
                <w:szCs w:val="28"/>
                <w:lang w:bidi="ar"/>
              </w:rPr>
              <w:t>《天津市司法鉴定管理条例》（</w:t>
            </w:r>
            <w:r>
              <w:rPr>
                <w:rStyle w:val="font01"/>
                <w:rFonts w:ascii="仿宋" w:eastAsia="仿宋" w:hAnsi="仿宋" w:cs="仿宋"/>
                <w:sz w:val="28"/>
                <w:szCs w:val="28"/>
                <w:lang w:bidi="ar"/>
              </w:rPr>
              <w:t>2019</w:t>
            </w:r>
            <w:r>
              <w:rPr>
                <w:rStyle w:val="font01"/>
                <w:rFonts w:ascii="仿宋" w:eastAsia="仿宋" w:hAnsi="仿宋" w:cs="仿宋"/>
                <w:sz w:val="28"/>
                <w:szCs w:val="28"/>
                <w:lang w:bidi="ar"/>
              </w:rPr>
              <w:t>年）</w:t>
            </w:r>
            <w:r>
              <w:rPr>
                <w:rStyle w:val="font11"/>
                <w:rFonts w:ascii="仿宋" w:eastAsia="仿宋" w:hAnsi="仿宋" w:cs="仿宋"/>
                <w:sz w:val="28"/>
                <w:szCs w:val="28"/>
                <w:lang w:bidi="ar"/>
              </w:rPr>
              <w:br/>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第五条</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市司法行政部门负责对本市行政区域内司法鉴定活动的监督管理，依法对司法鉴定人和司法鉴定机构进行登记、名册编制和公告，指导、监督区司法行政部门司法鉴定管理工作。</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区司法行政部门对本行政区域内司法鉴定人和司法鉴定机构及司法鉴定活动进行监督管理。</w:t>
            </w:r>
            <w:r>
              <w:rPr>
                <w:rStyle w:val="font11"/>
                <w:rFonts w:ascii="仿宋" w:eastAsia="仿宋" w:hAnsi="仿宋" w:cs="仿宋"/>
                <w:sz w:val="28"/>
                <w:szCs w:val="28"/>
                <w:lang w:bidi="ar"/>
              </w:rPr>
              <w:br/>
            </w:r>
            <w:r>
              <w:rPr>
                <w:rStyle w:val="font01"/>
                <w:rFonts w:ascii="仿宋" w:eastAsia="仿宋" w:hAnsi="仿宋" w:cs="仿宋"/>
                <w:sz w:val="28"/>
                <w:szCs w:val="28"/>
                <w:lang w:bidi="ar"/>
              </w:rPr>
              <w:t>《司法鉴定机构登记管理办法》（</w:t>
            </w:r>
            <w:r>
              <w:rPr>
                <w:rStyle w:val="font01"/>
                <w:rFonts w:ascii="仿宋" w:eastAsia="仿宋" w:hAnsi="仿宋" w:cs="仿宋"/>
                <w:sz w:val="28"/>
                <w:szCs w:val="28"/>
                <w:lang w:bidi="ar"/>
              </w:rPr>
              <w:t>2005</w:t>
            </w:r>
            <w:r>
              <w:rPr>
                <w:rStyle w:val="font01"/>
                <w:rFonts w:ascii="仿宋" w:eastAsia="仿宋" w:hAnsi="仿宋" w:cs="仿宋"/>
                <w:sz w:val="28"/>
                <w:szCs w:val="28"/>
                <w:lang w:bidi="ar"/>
              </w:rPr>
              <w:t>年</w:t>
            </w:r>
            <w:r>
              <w:rPr>
                <w:rStyle w:val="font01"/>
                <w:rFonts w:ascii="仿宋" w:eastAsia="仿宋" w:hAnsi="仿宋" w:cs="仿宋"/>
                <w:sz w:val="28"/>
                <w:szCs w:val="28"/>
                <w:lang w:bidi="ar"/>
              </w:rPr>
              <w:t xml:space="preserve"> </w:t>
            </w:r>
            <w:r>
              <w:rPr>
                <w:rStyle w:val="font01"/>
                <w:rFonts w:ascii="仿宋" w:eastAsia="仿宋" w:hAnsi="仿宋" w:cs="仿宋"/>
                <w:sz w:val="28"/>
                <w:szCs w:val="28"/>
                <w:lang w:bidi="ar"/>
              </w:rPr>
              <w:t>司法部令第</w:t>
            </w:r>
            <w:r>
              <w:rPr>
                <w:rStyle w:val="font01"/>
                <w:rFonts w:ascii="仿宋" w:eastAsia="仿宋" w:hAnsi="仿宋" w:cs="仿宋"/>
                <w:sz w:val="28"/>
                <w:szCs w:val="28"/>
                <w:lang w:bidi="ar"/>
              </w:rPr>
              <w:t>95</w:t>
            </w:r>
            <w:r>
              <w:rPr>
                <w:rStyle w:val="font01"/>
                <w:rFonts w:ascii="仿宋" w:eastAsia="仿宋" w:hAnsi="仿宋" w:cs="仿宋"/>
                <w:sz w:val="28"/>
                <w:szCs w:val="28"/>
                <w:lang w:bidi="ar"/>
              </w:rPr>
              <w:t>号）</w:t>
            </w:r>
            <w:r>
              <w:rPr>
                <w:rStyle w:val="font11"/>
                <w:rFonts w:ascii="仿宋" w:eastAsia="仿宋" w:hAnsi="仿宋" w:cs="仿宋"/>
                <w:sz w:val="28"/>
                <w:szCs w:val="28"/>
                <w:lang w:bidi="ar"/>
              </w:rPr>
              <w:br/>
              <w:t xml:space="preserve"> </w:t>
            </w:r>
            <w:r>
              <w:rPr>
                <w:rStyle w:val="font11"/>
                <w:rFonts w:ascii="仿宋" w:eastAsia="仿宋" w:hAnsi="仿宋" w:cs="仿宋"/>
                <w:sz w:val="28"/>
                <w:szCs w:val="28"/>
                <w:lang w:bidi="ar"/>
              </w:rPr>
              <w:t>第十条第（四）项</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省级司法行政机关负责本行政区域内司法鉴定机构登记管理工作，依法履行下列职责：（四）负责对司法鉴定机构进行监督、检查。第十一条</w:t>
            </w:r>
            <w:r>
              <w:rPr>
                <w:rStyle w:val="font11"/>
                <w:rFonts w:ascii="仿宋" w:eastAsia="仿宋" w:hAnsi="仿宋" w:cs="仿宋"/>
                <w:sz w:val="28"/>
                <w:szCs w:val="28"/>
                <w:lang w:bidi="ar"/>
              </w:rPr>
              <w:t xml:space="preserve"> </w:t>
            </w:r>
            <w:r>
              <w:rPr>
                <w:rStyle w:val="font11"/>
                <w:rFonts w:ascii="仿宋" w:eastAsia="仿宋" w:hAnsi="仿宋" w:cs="仿宋"/>
                <w:sz w:val="28"/>
                <w:szCs w:val="28"/>
                <w:lang w:bidi="ar"/>
              </w:rPr>
              <w:t>省级司法行政机关可以委托下一级司法行政机关协助办理本办</w:t>
            </w:r>
            <w:r>
              <w:rPr>
                <w:rStyle w:val="font11"/>
                <w:rFonts w:ascii="仿宋" w:eastAsia="仿宋" w:hAnsi="仿宋" w:cs="仿宋"/>
                <w:sz w:val="28"/>
                <w:szCs w:val="28"/>
                <w:lang w:bidi="ar"/>
              </w:rPr>
              <w:t>法第十条规定的有关工作。</w:t>
            </w:r>
          </w:p>
        </w:tc>
      </w:tr>
    </w:tbl>
    <w:p w:rsidR="00DF2230" w:rsidRDefault="00DF2230">
      <w:pPr>
        <w:spacing w:line="400" w:lineRule="exact"/>
        <w:rPr>
          <w:rFonts w:hint="eastAsia"/>
        </w:rPr>
      </w:pPr>
      <w:bookmarkStart w:id="0" w:name="_GoBack"/>
      <w:bookmarkEnd w:id="0"/>
    </w:p>
    <w:sectPr w:rsidR="00DF2230">
      <w:pgSz w:w="16838" w:h="11906" w:orient="landscape"/>
      <w:pgMar w:top="850" w:right="1134" w:bottom="85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E1" w:rsidRDefault="004020E1" w:rsidP="004020E1">
      <w:r>
        <w:separator/>
      </w:r>
    </w:p>
  </w:endnote>
  <w:endnote w:type="continuationSeparator" w:id="0">
    <w:p w:rsidR="004020E1" w:rsidRDefault="004020E1" w:rsidP="0040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E1" w:rsidRDefault="004020E1" w:rsidP="004020E1">
      <w:r>
        <w:separator/>
      </w:r>
    </w:p>
  </w:footnote>
  <w:footnote w:type="continuationSeparator" w:id="0">
    <w:p w:rsidR="004020E1" w:rsidRDefault="004020E1" w:rsidP="00402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D3E10"/>
    <w:rsid w:val="BFFD3E10"/>
    <w:rsid w:val="004020E1"/>
    <w:rsid w:val="00DF2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92D77"/>
  <w15:docId w15:val="{F8D96D14-B58A-407C-A578-69ECC269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Pr>
      <w:rFonts w:ascii="黑体" w:eastAsia="黑体" w:hAnsi="宋体" w:cs="黑体" w:hint="eastAsia"/>
      <w:color w:val="000000"/>
      <w:sz w:val="24"/>
      <w:szCs w:val="24"/>
      <w:u w:val="none"/>
    </w:rPr>
  </w:style>
  <w:style w:type="character" w:customStyle="1" w:styleId="font11">
    <w:name w:val="font11"/>
    <w:basedOn w:val="a0"/>
    <w:rPr>
      <w:rFonts w:ascii="宋体" w:eastAsia="宋体" w:hAnsi="宋体" w:cs="宋体" w:hint="eastAsia"/>
      <w:color w:val="000000"/>
      <w:sz w:val="24"/>
      <w:szCs w:val="24"/>
      <w:u w:val="none"/>
    </w:rPr>
  </w:style>
  <w:style w:type="paragraph" w:styleId="a3">
    <w:name w:val="header"/>
    <w:basedOn w:val="a"/>
    <w:link w:val="a4"/>
    <w:rsid w:val="004020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20E1"/>
    <w:rPr>
      <w:rFonts w:asciiTheme="minorHAnsi" w:eastAsiaTheme="minorEastAsia" w:hAnsiTheme="minorHAnsi" w:cstheme="minorBidi"/>
      <w:kern w:val="2"/>
      <w:sz w:val="18"/>
      <w:szCs w:val="18"/>
    </w:rPr>
  </w:style>
  <w:style w:type="paragraph" w:styleId="a5">
    <w:name w:val="footer"/>
    <w:basedOn w:val="a"/>
    <w:link w:val="a6"/>
    <w:rsid w:val="004020E1"/>
    <w:pPr>
      <w:tabs>
        <w:tab w:val="center" w:pos="4153"/>
        <w:tab w:val="right" w:pos="8306"/>
      </w:tabs>
      <w:snapToGrid w:val="0"/>
      <w:jc w:val="left"/>
    </w:pPr>
    <w:rPr>
      <w:sz w:val="18"/>
      <w:szCs w:val="18"/>
    </w:rPr>
  </w:style>
  <w:style w:type="character" w:customStyle="1" w:styleId="a6">
    <w:name w:val="页脚 字符"/>
    <w:basedOn w:val="a0"/>
    <w:link w:val="a5"/>
    <w:rsid w:val="004020E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公共法律服务室</dc:creator>
  <cp:lastModifiedBy>新闻媒体</cp:lastModifiedBy>
  <cp:revision>2</cp:revision>
  <dcterms:created xsi:type="dcterms:W3CDTF">2023-03-24T11:05:00Z</dcterms:created>
  <dcterms:modified xsi:type="dcterms:W3CDTF">2023-03-24T07:56:00Z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