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780" w:lineRule="exact"/>
        <w:jc w:val="distribute"/>
        <w:rPr>
          <w:rFonts w:hint="eastAsia" w:ascii="方正小标宋简体" w:hAnsi="华文宋体" w:eastAsia="方正小标宋简体"/>
          <w:color w:val="FF0000"/>
          <w:spacing w:val="70"/>
          <w:w w:val="80"/>
          <w:kern w:val="0"/>
          <w:sz w:val="56"/>
          <w:szCs w:val="56"/>
        </w:rPr>
      </w:pPr>
      <w:bookmarkStart w:id="0" w:name="_GoBack"/>
      <w:bookmarkEnd w:id="0"/>
      <w:r>
        <w:rPr>
          <w:rFonts w:hint="eastAsia" w:ascii="方正小标宋简体" w:hAnsi="华文宋体" w:eastAsia="方正小标宋简体"/>
          <w:color w:val="FF0000"/>
          <w:spacing w:val="70"/>
          <w:w w:val="90"/>
          <w:kern w:val="0"/>
          <w:sz w:val="56"/>
          <w:szCs w:val="56"/>
        </w:rPr>
        <w:t>天津市滨海新区司法局</w:t>
      </w:r>
    </w:p>
    <w:p>
      <w:pPr>
        <w:spacing w:line="100" w:lineRule="exact"/>
        <w:jc w:val="center"/>
        <w:rPr>
          <w:rFonts w:hint="eastAsia" w:ascii="方正小标宋简体" w:hAnsi="华文宋体" w:eastAsia="方正小标宋简体"/>
          <w:spacing w:val="-40"/>
          <w:w w:val="77"/>
          <w:kern w:val="0"/>
          <w:sz w:val="10"/>
          <w:szCs w:val="10"/>
        </w:rPr>
      </w:pPr>
    </w:p>
    <w:p>
      <w:pPr>
        <w:spacing w:line="80" w:lineRule="exact"/>
        <w:jc w:val="center"/>
        <w:rPr>
          <w:rFonts w:hint="eastAsia" w:ascii="仿宋_GB2312" w:hAnsi="宋体" w:eastAsia="仿宋_GB2312"/>
          <w:spacing w:val="-40"/>
          <w:w w:val="77"/>
          <w:sz w:val="14"/>
          <w:szCs w:val="14"/>
        </w:rPr>
      </w:pPr>
    </w:p>
    <w:p>
      <w:pPr>
        <w:spacing w:line="100" w:lineRule="exact"/>
        <w:jc w:val="center"/>
        <w:rPr>
          <w:rFonts w:hint="eastAsia" w:ascii="仿宋_GB2312" w:eastAsia="仿宋_GB2312"/>
          <w:sz w:val="14"/>
          <w:szCs w:val="14"/>
        </w:rPr>
      </w:pPr>
      <w:r>
        <w:pict>
          <v:group id="_x0000_s1026" o:spid="_x0000_s1026" o:spt="203" style="position:absolute;left:0pt;margin-top:116.2pt;height:3.35pt;width:481.9pt;mso-position-horizontal:center;mso-position-vertical-relative:page;z-index:251658240;mso-width-relative:page;mso-height-relative:page;" coordsize="9638,67">
            <o:lock v:ext="edit"/>
            <v:line id="_x0000_s1027" o:spid="_x0000_s1027" o:spt="20" style="position:absolute;left:0;top:0;height:1;width:9638;" stroked="t" coordsize="21600,21600">
              <v:path arrowok="t"/>
              <v:fill focussize="0,0"/>
              <v:stroke weight="2.25pt" color="#FF0000"/>
              <v:imagedata o:title=""/>
              <o:lock v:ext="edit"/>
            </v:line>
            <v:line id="_x0000_s1028" o:spid="_x0000_s1028" o:spt="20" style="position:absolute;left:0;top:67;height:1;width:9638;" stroked="t" coordsize="21600,21600">
              <v:path arrowok="t"/>
              <v:fill focussize="0,0"/>
              <v:stroke weight="0.5pt" color="#FF0000"/>
              <v:imagedata o:title=""/>
              <o:lock v:ext="edit"/>
            </v:line>
          </v:group>
        </w:pict>
      </w:r>
    </w:p>
    <w:p>
      <w:pPr>
        <w:spacing w:line="580" w:lineRule="exact"/>
        <w:ind w:right="301" w:rightChars="150"/>
        <w:jc w:val="right"/>
        <w:rPr>
          <w:rFonts w:hint="eastAsia"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eastAsia="方正小标宋简体"/>
          <w:b/>
          <w:sz w:val="44"/>
          <w:szCs w:val="44"/>
        </w:rPr>
      </w:pPr>
      <w:r>
        <w:rPr>
          <w:rFonts w:hint="eastAsia" w:ascii="方正小标宋简体" w:hAnsi="宋体" w:eastAsia="方正小标宋简体" w:cs="方正小标宋简体"/>
          <w:sz w:val="44"/>
          <w:szCs w:val="44"/>
        </w:rPr>
        <w:t>滨海新区司法局202</w:t>
      </w:r>
      <w:r>
        <w:rPr>
          <w:rFonts w:hint="default" w:ascii="方正小标宋简体" w:hAnsi="宋体" w:eastAsia="方正小标宋简体" w:cs="方正小标宋简体"/>
          <w:sz w:val="44"/>
          <w:szCs w:val="44"/>
          <w:lang w:val="en"/>
        </w:rPr>
        <w:t>2</w:t>
      </w:r>
      <w:r>
        <w:rPr>
          <w:rFonts w:hint="eastAsia" w:ascii="方正小标宋简体" w:hAnsi="宋体" w:eastAsia="方正小标宋简体" w:cs="方正小标宋简体"/>
          <w:sz w:val="44"/>
          <w:szCs w:val="44"/>
        </w:rPr>
        <w:t>年行政执法工作报告</w:t>
      </w:r>
    </w:p>
    <w:p>
      <w:pPr>
        <w:keepNext w:val="0"/>
        <w:keepLines w:val="0"/>
        <w:pageBreakBefore w:val="0"/>
        <w:widowControl w:val="0"/>
        <w:kinsoku/>
        <w:wordWrap/>
        <w:overflowPunct/>
        <w:topLinePunct w:val="0"/>
        <w:autoSpaceDE/>
        <w:autoSpaceDN/>
        <w:bidi w:val="0"/>
        <w:adjustRightInd/>
        <w:snapToGrid/>
        <w:spacing w:line="600" w:lineRule="exact"/>
        <w:ind w:firstLine="680"/>
        <w:jc w:val="left"/>
        <w:textAlignment w:val="auto"/>
        <w:rPr>
          <w:rFonts w:hint="eastAsia" w:ascii="仿宋" w:hAnsi="仿宋" w:eastAsia="仿宋"/>
          <w:sz w:val="34"/>
          <w:szCs w:val="34"/>
        </w:rPr>
      </w:pPr>
    </w:p>
    <w:p>
      <w:pPr>
        <w:keepNext w:val="0"/>
        <w:keepLines w:val="0"/>
        <w:pageBreakBefore w:val="0"/>
        <w:widowControl w:val="0"/>
        <w:kinsoku/>
        <w:wordWrap/>
        <w:overflowPunct/>
        <w:topLinePunct w:val="0"/>
        <w:autoSpaceDE/>
        <w:autoSpaceDN/>
        <w:bidi w:val="0"/>
        <w:adjustRightInd/>
        <w:snapToGrid/>
        <w:spacing w:line="600" w:lineRule="exact"/>
        <w:ind w:firstLine="622" w:firstLineChars="200"/>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
        </w:rPr>
        <w:t>2</w:t>
      </w:r>
      <w:r>
        <w:rPr>
          <w:rFonts w:hint="eastAsia" w:ascii="仿宋_GB2312" w:hAnsi="仿宋_GB2312" w:eastAsia="仿宋_GB2312" w:cs="仿宋_GB2312"/>
          <w:sz w:val="32"/>
          <w:szCs w:val="32"/>
        </w:rPr>
        <w:t>年以来，</w:t>
      </w:r>
      <w:r>
        <w:rPr>
          <w:rFonts w:hint="eastAsia" w:ascii="仿宋_GB2312" w:hAnsi="仿宋_GB2312" w:eastAsia="仿宋_GB2312" w:cs="仿宋_GB2312"/>
          <w:sz w:val="32"/>
        </w:rPr>
        <w:t>滨海新区司法局</w:t>
      </w:r>
      <w:r>
        <w:rPr>
          <w:rFonts w:hint="eastAsia" w:ascii="仿宋_GB2312" w:hAnsi="仿宋_GB2312" w:eastAsia="仿宋_GB2312" w:cs="仿宋_GB2312"/>
          <w:sz w:val="32"/>
          <w:lang w:val="en" w:eastAsia="zh-CN"/>
        </w:rPr>
        <w:t>认真推动落实法治政府建设，结合</w:t>
      </w:r>
      <w:r>
        <w:rPr>
          <w:rFonts w:hint="eastAsia" w:ascii="仿宋_GB2312" w:hAnsi="仿宋_GB2312" w:eastAsia="仿宋_GB2312" w:cs="仿宋_GB2312"/>
          <w:sz w:val="32"/>
        </w:rPr>
        <w:t>全面依法治区工作要求，对照“双随机、一公开”监管工作标准，坚持遵循“依法监管、公开公正、协同推进、联合惩戒”工作原则开展</w:t>
      </w:r>
      <w:r>
        <w:rPr>
          <w:rFonts w:hint="eastAsia" w:ascii="仿宋_GB2312" w:hAnsi="仿宋_GB2312" w:eastAsia="仿宋_GB2312" w:cs="仿宋_GB2312"/>
          <w:sz w:val="32"/>
          <w:lang w:eastAsia="zh-CN"/>
        </w:rPr>
        <w:t>行政</w:t>
      </w:r>
      <w:r>
        <w:rPr>
          <w:rFonts w:hint="eastAsia" w:ascii="仿宋_GB2312" w:hAnsi="仿宋_GB2312" w:eastAsia="仿宋_GB2312" w:cs="仿宋_GB2312"/>
          <w:sz w:val="32"/>
        </w:rPr>
        <w:t>执法，</w:t>
      </w:r>
      <w:r>
        <w:rPr>
          <w:rFonts w:hint="eastAsia" w:ascii="仿宋_GB2312" w:hAnsi="仿宋_GB2312" w:eastAsia="仿宋_GB2312" w:cs="仿宋_GB2312"/>
          <w:sz w:val="32"/>
          <w:szCs w:val="32"/>
        </w:rPr>
        <w:t>现</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一年来工作</w:t>
      </w:r>
      <w:r>
        <w:rPr>
          <w:rFonts w:hint="eastAsia" w:ascii="仿宋_GB2312" w:hAnsi="仿宋_GB2312" w:eastAsia="仿宋_GB2312" w:cs="仿宋_GB2312"/>
          <w:sz w:val="32"/>
          <w:szCs w:val="32"/>
          <w:lang w:eastAsia="zh-CN"/>
        </w:rPr>
        <w:t>具体</w:t>
      </w:r>
      <w:r>
        <w:rPr>
          <w:rFonts w:hint="eastAsia" w:ascii="仿宋_GB2312" w:hAnsi="仿宋_GB2312" w:eastAsia="仿宋_GB2312" w:cs="仿宋_GB2312"/>
          <w:sz w:val="32"/>
          <w:szCs w:val="32"/>
        </w:rPr>
        <w:t>情况总结如下：</w:t>
      </w:r>
    </w:p>
    <w:p>
      <w:pPr>
        <w:keepNext w:val="0"/>
        <w:keepLines w:val="0"/>
        <w:pageBreakBefore w:val="0"/>
        <w:widowControl w:val="0"/>
        <w:kinsoku/>
        <w:wordWrap/>
        <w:overflowPunct/>
        <w:topLinePunct w:val="0"/>
        <w:autoSpaceDE/>
        <w:autoSpaceDN/>
        <w:bidi w:val="0"/>
        <w:adjustRightInd/>
        <w:snapToGrid/>
        <w:spacing w:line="600" w:lineRule="exact"/>
        <w:ind w:firstLine="622" w:firstLineChars="200"/>
        <w:jc w:val="left"/>
        <w:textAlignment w:val="auto"/>
        <w:rPr>
          <w:rFonts w:ascii="黑体" w:hAnsi="黑体" w:eastAsia="黑体"/>
          <w:sz w:val="32"/>
          <w:szCs w:val="32"/>
        </w:rPr>
      </w:pPr>
      <w:r>
        <w:rPr>
          <w:rFonts w:hint="eastAsia" w:ascii="黑体" w:hAnsi="黑体" w:eastAsia="黑体"/>
          <w:sz w:val="32"/>
          <w:szCs w:val="32"/>
        </w:rPr>
        <w:t>一、执法项目及职权内容</w:t>
      </w:r>
    </w:p>
    <w:p>
      <w:pPr>
        <w:keepNext w:val="0"/>
        <w:keepLines w:val="0"/>
        <w:pageBreakBefore w:val="0"/>
        <w:widowControl w:val="0"/>
        <w:kinsoku/>
        <w:wordWrap/>
        <w:overflowPunct/>
        <w:topLinePunct w:val="0"/>
        <w:autoSpaceDE/>
        <w:autoSpaceDN/>
        <w:bidi w:val="0"/>
        <w:adjustRightInd/>
        <w:snapToGrid/>
        <w:spacing w:line="600" w:lineRule="exact"/>
        <w:ind w:firstLine="622" w:firstLineChars="200"/>
        <w:jc w:val="left"/>
        <w:textAlignment w:val="auto"/>
        <w:rPr>
          <w:rFonts w:hint="eastAsia" w:ascii="仿宋_GB2312" w:hAnsi="仿宋_GB2312" w:eastAsia="仿宋_GB2312" w:cs="仿宋_GB2312"/>
          <w:sz w:val="32"/>
        </w:rPr>
      </w:pPr>
      <w:r>
        <w:rPr>
          <w:rFonts w:hint="eastAsia" w:ascii="仿宋_GB2312" w:hAnsi="宋体" w:eastAsia="仿宋_GB2312"/>
          <w:sz w:val="32"/>
          <w:szCs w:val="32"/>
          <w:lang w:eastAsia="zh-CN"/>
        </w:rPr>
        <w:t>区司法局</w:t>
      </w:r>
      <w:r>
        <w:rPr>
          <w:rFonts w:hint="eastAsia" w:ascii="仿宋_GB2312" w:hAnsi="宋体" w:eastAsia="仿宋_GB2312"/>
          <w:sz w:val="32"/>
          <w:szCs w:val="32"/>
        </w:rPr>
        <w:t>共有3</w:t>
      </w:r>
      <w:r>
        <w:rPr>
          <w:rFonts w:ascii="仿宋_GB2312" w:hAnsi="宋体" w:eastAsia="仿宋_GB2312"/>
          <w:sz w:val="32"/>
          <w:szCs w:val="32"/>
        </w:rPr>
        <w:t>7</w:t>
      </w:r>
      <w:r>
        <w:rPr>
          <w:rFonts w:hint="eastAsia" w:ascii="仿宋_GB2312" w:hAnsi="宋体" w:eastAsia="仿宋_GB2312"/>
          <w:sz w:val="32"/>
          <w:szCs w:val="32"/>
        </w:rPr>
        <w:t>项行政职</w:t>
      </w:r>
      <w:r>
        <w:rPr>
          <w:rFonts w:hint="eastAsia" w:ascii="仿宋_GB2312" w:hAnsi="仿宋_GB2312" w:eastAsia="仿宋_GB2312" w:cs="仿宋_GB2312"/>
          <w:sz w:val="32"/>
        </w:rPr>
        <w:t>权，其中行政处罚15项，涉及律师工作管理、公证工作管理、基层法律服务管理工作、法律援助管理工作、司法鉴定管理工作五个方面；行政检查4项，涉及</w:t>
      </w:r>
      <w:r>
        <w:rPr>
          <w:rFonts w:hint="eastAsia" w:ascii="仿宋_GB2312" w:hAnsi="仿宋_GB2312" w:eastAsia="仿宋_GB2312" w:cs="仿宋_GB2312"/>
          <w:sz w:val="32"/>
          <w:lang w:eastAsia="zh-CN"/>
        </w:rPr>
        <w:t>法治</w:t>
      </w:r>
      <w:r>
        <w:rPr>
          <w:rFonts w:hint="eastAsia" w:ascii="仿宋_GB2312" w:hAnsi="仿宋_GB2312" w:eastAsia="仿宋_GB2312" w:cs="仿宋_GB2312"/>
          <w:sz w:val="32"/>
        </w:rPr>
        <w:t>宣传教育工作、司法鉴定管理工作两方面；行政给付2项，</w:t>
      </w:r>
      <w:r>
        <w:rPr>
          <w:rFonts w:hint="eastAsia" w:ascii="仿宋_GB2312" w:hAnsi="仿宋_GB2312" w:eastAsia="仿宋_GB2312" w:cs="仿宋_GB2312"/>
          <w:sz w:val="32"/>
          <w:lang w:eastAsia="zh-CN"/>
        </w:rPr>
        <w:t>主要涉及</w:t>
      </w:r>
      <w:r>
        <w:rPr>
          <w:rFonts w:hint="eastAsia" w:ascii="仿宋_GB2312" w:hAnsi="仿宋_GB2312" w:eastAsia="仿宋_GB2312" w:cs="仿宋_GB2312"/>
          <w:sz w:val="32"/>
        </w:rPr>
        <w:t>法律援助管理工作；行政奖励4项，涉及</w:t>
      </w:r>
      <w:r>
        <w:rPr>
          <w:rFonts w:hint="eastAsia" w:ascii="仿宋_GB2312" w:hAnsi="仿宋_GB2312" w:eastAsia="仿宋_GB2312" w:cs="仿宋_GB2312"/>
          <w:sz w:val="32"/>
          <w:lang w:eastAsia="zh-CN"/>
        </w:rPr>
        <w:t>法治</w:t>
      </w:r>
      <w:r>
        <w:rPr>
          <w:rFonts w:hint="eastAsia" w:ascii="仿宋_GB2312" w:hAnsi="仿宋_GB2312" w:eastAsia="仿宋_GB2312" w:cs="仿宋_GB2312"/>
          <w:sz w:val="32"/>
        </w:rPr>
        <w:t>宣传教育工作、基层法律服务管理工作、法律援助管理工作三个方面；其他类别12项，涉及公证工作管理、</w:t>
      </w:r>
      <w:r>
        <w:rPr>
          <w:rFonts w:hint="eastAsia" w:ascii="仿宋_GB2312" w:hAnsi="仿宋_GB2312" w:eastAsia="仿宋_GB2312" w:cs="仿宋_GB2312"/>
          <w:sz w:val="32"/>
          <w:lang w:eastAsia="zh-CN"/>
        </w:rPr>
        <w:t>法治</w:t>
      </w:r>
      <w:r>
        <w:rPr>
          <w:rFonts w:hint="eastAsia" w:ascii="仿宋_GB2312" w:hAnsi="仿宋_GB2312" w:eastAsia="仿宋_GB2312" w:cs="仿宋_GB2312"/>
          <w:sz w:val="32"/>
        </w:rPr>
        <w:t>宣传教育工作、基层法律服务管理</w:t>
      </w:r>
      <w:r>
        <w:rPr>
          <w:rFonts w:hint="default" w:ascii="仿宋_GB2312" w:hAnsi="仿宋_GB2312" w:eastAsia="仿宋_GB2312" w:cs="仿宋_GB2312"/>
          <w:sz w:val="32"/>
          <w:lang w:val="en"/>
        </w:rPr>
        <w:t>工作</w:t>
      </w:r>
      <w:r>
        <w:rPr>
          <w:rFonts w:hint="eastAsia" w:ascii="仿宋_GB2312" w:hAnsi="仿宋_GB2312" w:eastAsia="仿宋_GB2312" w:cs="仿宋_GB2312"/>
          <w:sz w:val="32"/>
        </w:rPr>
        <w:t>、法律援助管理工作、行政复议五个方面。</w:t>
      </w:r>
    </w:p>
    <w:p>
      <w:pPr>
        <w:keepNext w:val="0"/>
        <w:keepLines w:val="0"/>
        <w:pageBreakBefore w:val="0"/>
        <w:widowControl w:val="0"/>
        <w:kinsoku/>
        <w:wordWrap/>
        <w:overflowPunct/>
        <w:topLinePunct w:val="0"/>
        <w:autoSpaceDE/>
        <w:autoSpaceDN/>
        <w:bidi w:val="0"/>
        <w:adjustRightInd/>
        <w:snapToGrid/>
        <w:spacing w:line="600" w:lineRule="exact"/>
        <w:ind w:firstLine="622" w:firstLineChars="200"/>
        <w:jc w:val="left"/>
        <w:textAlignment w:val="auto"/>
        <w:rPr>
          <w:rFonts w:ascii="仿宋_GB2312" w:hAnsi="宋体" w:eastAsia="仿宋_GB2312"/>
          <w:sz w:val="32"/>
          <w:szCs w:val="32"/>
        </w:rPr>
      </w:pPr>
      <w:r>
        <w:rPr>
          <w:rFonts w:hint="eastAsia" w:ascii="黑体" w:hAnsi="黑体" w:eastAsia="黑体"/>
          <w:sz w:val="32"/>
          <w:szCs w:val="32"/>
        </w:rPr>
        <w:t>二、主要履职情况</w:t>
      </w:r>
    </w:p>
    <w:p>
      <w:pPr>
        <w:keepNext w:val="0"/>
        <w:keepLines w:val="0"/>
        <w:pageBreakBefore w:val="0"/>
        <w:widowControl w:val="0"/>
        <w:kinsoku/>
        <w:wordWrap/>
        <w:overflowPunct/>
        <w:topLinePunct w:val="0"/>
        <w:autoSpaceDE/>
        <w:autoSpaceDN/>
        <w:bidi w:val="0"/>
        <w:adjustRightInd/>
        <w:snapToGrid/>
        <w:spacing w:line="600" w:lineRule="exact"/>
        <w:ind w:firstLine="622" w:firstLineChars="200"/>
        <w:jc w:val="left"/>
        <w:textAlignment w:val="auto"/>
        <w:rPr>
          <w:rFonts w:hint="eastAsia" w:ascii="楷体_GB2312" w:hAnsi="宋体" w:eastAsia="楷体_GB2312"/>
          <w:sz w:val="32"/>
          <w:szCs w:val="32"/>
        </w:rPr>
      </w:pPr>
      <w:r>
        <w:rPr>
          <w:rFonts w:hint="eastAsia" w:ascii="楷体_GB2312" w:hAnsi="宋体" w:eastAsia="楷体_GB2312"/>
          <w:sz w:val="32"/>
          <w:szCs w:val="32"/>
        </w:rPr>
        <w:t>（一）行政处罚及行政检查事项</w:t>
      </w:r>
    </w:p>
    <w:p>
      <w:pPr>
        <w:keepNext w:val="0"/>
        <w:keepLines w:val="0"/>
        <w:pageBreakBefore w:val="0"/>
        <w:widowControl w:val="0"/>
        <w:kinsoku/>
        <w:wordWrap/>
        <w:overflowPunct/>
        <w:topLinePunct w:val="0"/>
        <w:autoSpaceDE/>
        <w:autoSpaceDN/>
        <w:bidi w:val="0"/>
        <w:adjustRightInd/>
        <w:snapToGrid/>
        <w:spacing w:line="600" w:lineRule="exact"/>
        <w:ind w:firstLine="622" w:firstLineChars="200"/>
        <w:jc w:val="left"/>
        <w:textAlignment w:val="auto"/>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lang w:eastAsia="zh-CN"/>
        </w:rPr>
        <w:t>行政执法检查与行业日常监管相结合，将“双随机、一公开”检查机制运用到各法律服务行业的日常监管工作之中。一是根据对律师、公证、司法鉴定、基层法律服务等相关行业的法定监管职权，制定相关抽查检查事项清单，定期维护更新检查对象库和执法人员名录。二是在检查中，两名执法人员为一组，除完成随机抽取事项的规定任务外，对党的建设、窗口服务</w:t>
      </w:r>
      <w:r>
        <w:rPr>
          <w:rFonts w:hint="default" w:ascii="仿宋_GB2312" w:hAnsi="宋体" w:eastAsia="仿宋_GB2312" w:cs="Times New Roman"/>
          <w:sz w:val="32"/>
          <w:szCs w:val="32"/>
          <w:lang w:val="en" w:eastAsia="zh-CN"/>
        </w:rPr>
        <w:t>、</w:t>
      </w:r>
      <w:r>
        <w:rPr>
          <w:rFonts w:hint="eastAsia" w:ascii="仿宋_GB2312" w:hAnsi="宋体" w:eastAsia="仿宋_GB2312" w:cs="Times New Roman"/>
          <w:sz w:val="32"/>
          <w:szCs w:val="32"/>
          <w:lang w:eastAsia="zh-CN"/>
        </w:rPr>
        <w:t>办证质量以及相关重点工作推进情况同步进行督查。三是将检查结果定期通报，对检查出的突出问题</w:t>
      </w:r>
      <w:r>
        <w:rPr>
          <w:rFonts w:hint="default" w:ascii="仿宋_GB2312" w:hAnsi="宋体" w:eastAsia="仿宋_GB2312" w:cs="Times New Roman"/>
          <w:sz w:val="32"/>
          <w:szCs w:val="32"/>
          <w:lang w:val="en" w:eastAsia="zh-CN"/>
        </w:rPr>
        <w:t>、</w:t>
      </w:r>
      <w:r>
        <w:rPr>
          <w:rFonts w:hint="eastAsia" w:ascii="仿宋_GB2312" w:hAnsi="宋体" w:eastAsia="仿宋_GB2312" w:cs="Times New Roman"/>
          <w:sz w:val="32"/>
          <w:szCs w:val="32"/>
          <w:lang w:eastAsia="zh-CN"/>
        </w:rPr>
        <w:t>共性问题，在行业内开展警示教育，提升行业服务水平，让</w:t>
      </w:r>
      <w:r>
        <w:rPr>
          <w:rFonts w:hint="default" w:ascii="仿宋_GB2312" w:hAnsi="宋体" w:eastAsia="仿宋_GB2312" w:cs="Times New Roman"/>
          <w:sz w:val="32"/>
          <w:szCs w:val="32"/>
          <w:lang w:val="en" w:eastAsia="zh-CN"/>
        </w:rPr>
        <w:t>“</w:t>
      </w:r>
      <w:r>
        <w:rPr>
          <w:rFonts w:hint="eastAsia" w:ascii="仿宋_GB2312" w:hAnsi="宋体" w:eastAsia="仿宋_GB2312" w:cs="Times New Roman"/>
          <w:sz w:val="32"/>
          <w:szCs w:val="32"/>
          <w:lang w:eastAsia="zh-CN"/>
        </w:rPr>
        <w:t>双随机</w:t>
      </w:r>
      <w:r>
        <w:rPr>
          <w:rFonts w:hint="default" w:ascii="仿宋_GB2312" w:hAnsi="宋体" w:eastAsia="仿宋_GB2312" w:cs="Times New Roman"/>
          <w:sz w:val="32"/>
          <w:szCs w:val="32"/>
          <w:lang w:val="en" w:eastAsia="zh-CN"/>
        </w:rPr>
        <w:t>、</w:t>
      </w:r>
      <w:r>
        <w:rPr>
          <w:rFonts w:hint="eastAsia" w:ascii="仿宋_GB2312" w:hAnsi="宋体" w:eastAsia="仿宋_GB2312" w:cs="Times New Roman"/>
          <w:sz w:val="32"/>
          <w:szCs w:val="32"/>
          <w:lang w:eastAsia="zh-CN"/>
        </w:rPr>
        <w:t>一公开</w:t>
      </w:r>
      <w:r>
        <w:rPr>
          <w:rFonts w:hint="default" w:ascii="仿宋_GB2312" w:hAnsi="宋体" w:eastAsia="仿宋_GB2312" w:cs="Times New Roman"/>
          <w:sz w:val="32"/>
          <w:szCs w:val="32"/>
          <w:lang w:val="en" w:eastAsia="zh-CN"/>
        </w:rPr>
        <w:t>”</w:t>
      </w:r>
      <w:r>
        <w:rPr>
          <w:rFonts w:hint="eastAsia" w:ascii="仿宋_GB2312" w:hAnsi="宋体" w:eastAsia="仿宋_GB2312" w:cs="Times New Roman"/>
          <w:sz w:val="32"/>
          <w:szCs w:val="32"/>
          <w:lang w:eastAsia="zh-CN"/>
        </w:rPr>
        <w:t>检查取得实效。</w:t>
      </w:r>
    </w:p>
    <w:p>
      <w:pPr>
        <w:keepNext w:val="0"/>
        <w:keepLines w:val="0"/>
        <w:pageBreakBefore w:val="0"/>
        <w:widowControl w:val="0"/>
        <w:kinsoku/>
        <w:wordWrap/>
        <w:overflowPunct/>
        <w:topLinePunct w:val="0"/>
        <w:autoSpaceDE/>
        <w:autoSpaceDN/>
        <w:bidi w:val="0"/>
        <w:adjustRightInd/>
        <w:snapToGrid/>
        <w:spacing w:line="600" w:lineRule="exact"/>
        <w:ind w:firstLine="622" w:firstLineChars="200"/>
        <w:jc w:val="left"/>
        <w:textAlignment w:val="auto"/>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2.</w:t>
      </w:r>
      <w:r>
        <w:rPr>
          <w:rFonts w:hint="eastAsia" w:ascii="仿宋_GB2312" w:hAnsi="宋体" w:eastAsia="仿宋_GB2312" w:cs="Times New Roman"/>
          <w:sz w:val="32"/>
          <w:szCs w:val="32"/>
          <w:lang w:eastAsia="zh-CN"/>
        </w:rPr>
        <w:t>行政执法检查与“互联网+”平台相结合，自觉推行“互联网+”监管模式，借助现有平台提升监管质效。一是与局门户网站相结合，在年初公示年度检查计划和“两库一单”，定期公示检查结果</w:t>
      </w:r>
      <w:r>
        <w:rPr>
          <w:rFonts w:hint="default" w:ascii="仿宋_GB2312" w:hAnsi="宋体" w:eastAsia="仿宋_GB2312" w:cs="Times New Roman"/>
          <w:sz w:val="32"/>
          <w:szCs w:val="32"/>
          <w:lang w:val="en" w:eastAsia="zh-CN"/>
        </w:rPr>
        <w:t>。</w:t>
      </w:r>
      <w:r>
        <w:rPr>
          <w:rFonts w:hint="eastAsia" w:ascii="仿宋_GB2312" w:hAnsi="宋体" w:eastAsia="仿宋_GB2312" w:cs="Times New Roman"/>
          <w:sz w:val="32"/>
          <w:szCs w:val="32"/>
          <w:lang w:eastAsia="zh-CN"/>
        </w:rPr>
        <w:t>二是与天津市“双随机、一公开”监管工作平台相结合，以季度为单位在平台上随机抽选检查对象，随机匹配检查人员，在规定时间完成检查工作，反馈结果。三是与行政执法监督平台相结合，在执法检查中使用滨海智慧执法系统，同步上报相关检查数据，对执法检查中发现问题的，按规定做出行政处罚。2022年共开展行政执法检查33次，监管覆盖率30%，作出行政处罚案件</w:t>
      </w:r>
      <w:r>
        <w:rPr>
          <w:rFonts w:hint="eastAsia" w:ascii="仿宋_GB2312" w:hAnsi="宋体" w:eastAsia="仿宋_GB2312" w:cs="Times New Roman"/>
          <w:sz w:val="32"/>
          <w:szCs w:val="32"/>
          <w:lang w:val="en-US" w:eastAsia="zh-CN"/>
        </w:rPr>
        <w:t>1件，已按照有关规定在新区司法局门户网站公开</w:t>
      </w:r>
      <w:r>
        <w:rPr>
          <w:rFonts w:hint="eastAsia" w:ascii="仿宋_GB2312" w:hAnsi="宋体"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22" w:firstLineChars="200"/>
        <w:jc w:val="left"/>
        <w:textAlignment w:val="auto"/>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3.</w:t>
      </w:r>
      <w:r>
        <w:rPr>
          <w:rFonts w:hint="eastAsia" w:ascii="仿宋_GB2312" w:hAnsi="宋体" w:eastAsia="仿宋_GB2312" w:cs="Times New Roman"/>
          <w:sz w:val="32"/>
          <w:szCs w:val="32"/>
          <w:lang w:eastAsia="zh-CN"/>
        </w:rPr>
        <w:t>行政执法检查与信用分级评价相结合，认真落实《天津市律师行业信用分级评价管理办法（试行）》。在日常监管方面，自觉运用信用分级评价数据，加大对信用等级为AAA、AA级的律师和律师事务所激励、扶持力度，适度管理A级律师和律师事务所，强化对B级律师和律师事务所的监管力度，依法严厉惩处C级律师和律师事务所。具体到“双随机、一公开”检查机制，区司法局尽量减少对A 级以上的律师和律师事务所检查频次，增加对B 级以下的律师和律师事务所检查频次，并根据实际情况将C级律师和律师事务所列为必查对象。</w:t>
      </w:r>
    </w:p>
    <w:p>
      <w:pPr>
        <w:keepNext w:val="0"/>
        <w:keepLines w:val="0"/>
        <w:pageBreakBefore w:val="0"/>
        <w:widowControl w:val="0"/>
        <w:kinsoku/>
        <w:wordWrap/>
        <w:overflowPunct/>
        <w:topLinePunct w:val="0"/>
        <w:autoSpaceDE/>
        <w:autoSpaceDN/>
        <w:bidi w:val="0"/>
        <w:adjustRightInd/>
        <w:snapToGrid/>
        <w:spacing w:line="600" w:lineRule="exact"/>
        <w:ind w:firstLine="622" w:firstLineChars="200"/>
        <w:jc w:val="left"/>
        <w:textAlignment w:val="auto"/>
        <w:rPr>
          <w:rFonts w:hint="eastAsia" w:ascii="仿宋_GB2312" w:hAnsi="宋体" w:eastAsia="仿宋_GB2312" w:cs="Times New Roman"/>
          <w:sz w:val="32"/>
          <w:szCs w:val="32"/>
          <w:lang w:eastAsia="zh-CN"/>
        </w:rPr>
      </w:pPr>
      <w:r>
        <w:rPr>
          <w:rFonts w:hint="eastAsia" w:ascii="楷体_GB2312" w:hAnsi="宋体" w:eastAsia="楷体_GB2312"/>
          <w:sz w:val="32"/>
          <w:szCs w:val="32"/>
        </w:rPr>
        <w:t>（二）行政给付事项。</w:t>
      </w:r>
      <w:r>
        <w:rPr>
          <w:rFonts w:hint="eastAsia" w:ascii="仿宋_GB2312" w:hAnsi="宋体" w:eastAsia="仿宋_GB2312"/>
          <w:sz w:val="32"/>
          <w:szCs w:val="32"/>
          <w:lang w:eastAsia="zh-CN"/>
        </w:rPr>
        <w:t>区司法局两项行政给付职权</w:t>
      </w:r>
      <w:r>
        <w:rPr>
          <w:rFonts w:hint="eastAsia" w:ascii="仿宋_GB2312" w:hAnsi="宋体" w:eastAsia="仿宋_GB2312"/>
          <w:sz w:val="32"/>
          <w:szCs w:val="32"/>
        </w:rPr>
        <w:t>1.对公民提供法律援助工作情况：滨海新区全年共办理法律援</w:t>
      </w:r>
      <w:r>
        <w:rPr>
          <w:rFonts w:hint="eastAsia" w:ascii="仿宋_GB2312" w:hAnsi="宋体" w:eastAsia="仿宋_GB2312" w:cs="Times New Roman"/>
          <w:sz w:val="32"/>
          <w:szCs w:val="32"/>
        </w:rPr>
        <w:t>助案件</w:t>
      </w:r>
      <w:r>
        <w:rPr>
          <w:rFonts w:hint="eastAsia" w:ascii="仿宋_GB2312" w:hAnsi="宋体" w:eastAsia="仿宋_GB2312" w:cs="Times New Roman"/>
          <w:sz w:val="32"/>
          <w:szCs w:val="32"/>
          <w:lang w:val="en-US" w:eastAsia="zh-CN"/>
        </w:rPr>
        <w:t>926</w:t>
      </w:r>
      <w:r>
        <w:rPr>
          <w:rFonts w:hint="eastAsia" w:ascii="仿宋_GB2312" w:hAnsi="宋体" w:eastAsia="仿宋_GB2312" w:cs="Times New Roman"/>
          <w:sz w:val="32"/>
          <w:szCs w:val="32"/>
        </w:rPr>
        <w:t>件。2.对法律援助案件补贴的审核发放：由法律援助机构指派社会律师和基层法律服务工作者等办理的法律援助案件，在案件办结后按照</w:t>
      </w:r>
      <w:r>
        <w:rPr>
          <w:rFonts w:hint="default" w:ascii="仿宋_GB2312" w:hAnsi="宋体" w:eastAsia="仿宋_GB2312" w:cs="Times New Roman"/>
          <w:sz w:val="32"/>
          <w:szCs w:val="32"/>
          <w:lang w:val="en"/>
        </w:rPr>
        <w:t>相关</w:t>
      </w:r>
      <w:r>
        <w:rPr>
          <w:rFonts w:hint="eastAsia" w:ascii="仿宋_GB2312" w:hAnsi="宋体" w:eastAsia="仿宋_GB2312" w:cs="Times New Roman"/>
          <w:sz w:val="32"/>
          <w:szCs w:val="32"/>
        </w:rPr>
        <w:t>规定和</w:t>
      </w:r>
      <w:r>
        <w:rPr>
          <w:rFonts w:hint="default" w:ascii="仿宋_GB2312" w:hAnsi="宋体" w:eastAsia="仿宋_GB2312" w:cs="Times New Roman"/>
          <w:sz w:val="32"/>
          <w:szCs w:val="32"/>
          <w:lang w:val="en"/>
        </w:rPr>
        <w:t>发放</w:t>
      </w:r>
      <w:r>
        <w:rPr>
          <w:rFonts w:hint="eastAsia" w:ascii="仿宋_GB2312" w:hAnsi="宋体" w:eastAsia="仿宋_GB2312" w:cs="Times New Roman"/>
          <w:sz w:val="32"/>
          <w:szCs w:val="32"/>
        </w:rPr>
        <w:t>标准，对案卷材料</w:t>
      </w:r>
      <w:r>
        <w:rPr>
          <w:rFonts w:hint="eastAsia" w:ascii="仿宋_GB2312" w:hAnsi="宋体" w:eastAsia="仿宋_GB2312" w:cs="Times New Roman"/>
          <w:sz w:val="32"/>
          <w:szCs w:val="32"/>
          <w:lang w:eastAsia="zh-CN"/>
        </w:rPr>
        <w:t>及补贴金额进行审核，</w:t>
      </w:r>
      <w:r>
        <w:rPr>
          <w:rFonts w:hint="default" w:ascii="仿宋_GB2312" w:hAnsi="宋体" w:eastAsia="仿宋_GB2312" w:cs="Times New Roman"/>
          <w:sz w:val="32"/>
          <w:szCs w:val="32"/>
          <w:lang w:val="en" w:eastAsia="zh-CN"/>
        </w:rPr>
        <w:t>全年</w:t>
      </w:r>
      <w:r>
        <w:rPr>
          <w:rFonts w:hint="eastAsia" w:ascii="仿宋_GB2312" w:hAnsi="宋体" w:eastAsia="仿宋_GB2312" w:cs="Times New Roman"/>
          <w:sz w:val="32"/>
          <w:szCs w:val="32"/>
          <w:lang w:val="en" w:eastAsia="zh-CN"/>
        </w:rPr>
        <w:t>共</w:t>
      </w:r>
      <w:r>
        <w:rPr>
          <w:rFonts w:hint="eastAsia" w:ascii="仿宋_GB2312" w:hAnsi="宋体" w:eastAsia="仿宋_GB2312" w:cs="Times New Roman"/>
          <w:sz w:val="32"/>
          <w:szCs w:val="32"/>
          <w:lang w:eastAsia="zh-CN"/>
        </w:rPr>
        <w:t>发放</w:t>
      </w:r>
      <w:r>
        <w:rPr>
          <w:rFonts w:hint="default" w:ascii="仿宋_GB2312" w:hAnsi="宋体" w:eastAsia="仿宋_GB2312" w:cs="Times New Roman"/>
          <w:sz w:val="32"/>
          <w:szCs w:val="32"/>
          <w:lang w:val="en" w:eastAsia="zh-CN"/>
        </w:rPr>
        <w:t>案件补贴</w:t>
      </w:r>
      <w:r>
        <w:rPr>
          <w:rFonts w:hint="eastAsia" w:ascii="仿宋_GB2312" w:hAnsi="宋体" w:eastAsia="仿宋_GB2312" w:cs="Times New Roman"/>
          <w:sz w:val="32"/>
          <w:szCs w:val="32"/>
          <w:lang w:val="en-US" w:eastAsia="zh-CN"/>
        </w:rPr>
        <w:t>88.681万元</w:t>
      </w:r>
      <w:r>
        <w:rPr>
          <w:rFonts w:hint="eastAsia" w:ascii="仿宋_GB2312" w:hAnsi="宋体"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22" w:firstLineChars="200"/>
        <w:jc w:val="left"/>
        <w:textAlignment w:val="auto"/>
        <w:rPr>
          <w:rFonts w:ascii="仿宋_GB2312" w:hAnsi="宋体" w:eastAsia="仿宋_GB2312"/>
          <w:sz w:val="32"/>
          <w:szCs w:val="32"/>
        </w:rPr>
      </w:pPr>
      <w:r>
        <w:rPr>
          <w:rFonts w:hint="eastAsia" w:ascii="楷体_GB2312" w:hAnsi="宋体" w:eastAsia="楷体_GB2312"/>
          <w:sz w:val="32"/>
          <w:szCs w:val="32"/>
        </w:rPr>
        <w:t>（三）行政奖励事项。</w:t>
      </w:r>
      <w:r>
        <w:rPr>
          <w:rFonts w:hint="eastAsia" w:ascii="仿宋_GB2312" w:hAnsi="宋体" w:eastAsia="仿宋_GB2312"/>
          <w:sz w:val="32"/>
          <w:szCs w:val="32"/>
          <w:lang w:eastAsia="zh-CN"/>
        </w:rPr>
        <w:t>区司法局</w:t>
      </w:r>
      <w:r>
        <w:rPr>
          <w:rFonts w:hint="eastAsia" w:ascii="仿宋_GB2312" w:hAnsi="宋体" w:eastAsia="仿宋_GB2312"/>
          <w:sz w:val="32"/>
          <w:szCs w:val="32"/>
        </w:rPr>
        <w:t>共有4个行政奖励事项，分别为：对</w:t>
      </w:r>
      <w:r>
        <w:rPr>
          <w:rFonts w:hint="eastAsia" w:ascii="仿宋_GB2312" w:hAnsi="宋体" w:eastAsia="仿宋_GB2312"/>
          <w:sz w:val="32"/>
          <w:szCs w:val="32"/>
          <w:lang w:eastAsia="zh-CN"/>
        </w:rPr>
        <w:t>法治</w:t>
      </w:r>
      <w:r>
        <w:rPr>
          <w:rFonts w:hint="eastAsia" w:ascii="仿宋_GB2312" w:hAnsi="宋体" w:eastAsia="仿宋_GB2312"/>
          <w:sz w:val="32"/>
          <w:szCs w:val="32"/>
        </w:rPr>
        <w:t>宣传教育工作中成绩突出的单位和个人的奖励、对事迹突出的基层法律工作者的奖励、对事迹突出的基层法律服务所的奖励和对在法律援助工作中作出突出贡献的组织和个人的奖励。</w:t>
      </w:r>
      <w:r>
        <w:rPr>
          <w:rFonts w:hint="eastAsia" w:ascii="仿宋_GB2312" w:hAnsi="宋体" w:eastAsia="仿宋_GB2312"/>
          <w:sz w:val="32"/>
          <w:szCs w:val="32"/>
          <w:lang w:eastAsia="zh-CN"/>
        </w:rPr>
        <w:t>区司法局</w:t>
      </w:r>
      <w:r>
        <w:rPr>
          <w:rFonts w:hint="eastAsia" w:ascii="仿宋_GB2312" w:hAnsi="宋体" w:eastAsia="仿宋_GB2312"/>
          <w:sz w:val="32"/>
          <w:szCs w:val="32"/>
        </w:rPr>
        <w:t>全年</w:t>
      </w:r>
      <w:r>
        <w:rPr>
          <w:rFonts w:hint="default" w:ascii="仿宋_GB2312" w:hAnsi="宋体" w:eastAsia="仿宋_GB2312"/>
          <w:sz w:val="32"/>
          <w:szCs w:val="32"/>
          <w:lang w:val="en"/>
        </w:rPr>
        <w:t>未作出</w:t>
      </w:r>
      <w:r>
        <w:rPr>
          <w:rFonts w:hint="eastAsia" w:ascii="仿宋_GB2312" w:hAnsi="宋体" w:eastAsia="仿宋_GB2312"/>
          <w:sz w:val="32"/>
          <w:szCs w:val="32"/>
        </w:rPr>
        <w:t>行政奖励。</w:t>
      </w:r>
    </w:p>
    <w:p>
      <w:pPr>
        <w:keepNext w:val="0"/>
        <w:keepLines w:val="0"/>
        <w:pageBreakBefore w:val="0"/>
        <w:widowControl w:val="0"/>
        <w:kinsoku/>
        <w:wordWrap/>
        <w:overflowPunct/>
        <w:topLinePunct w:val="0"/>
        <w:autoSpaceDE/>
        <w:autoSpaceDN/>
        <w:bidi w:val="0"/>
        <w:adjustRightInd/>
        <w:snapToGrid/>
        <w:spacing w:line="600" w:lineRule="exact"/>
        <w:ind w:firstLine="622" w:firstLineChars="200"/>
        <w:jc w:val="left"/>
        <w:textAlignment w:val="auto"/>
        <w:rPr>
          <w:rFonts w:hint="eastAsia" w:ascii="仿宋_GB2312" w:hAnsi="宋体" w:eastAsia="仿宋_GB2312" w:cs="Times New Roman"/>
          <w:sz w:val="32"/>
          <w:szCs w:val="32"/>
          <w:highlight w:val="none"/>
        </w:rPr>
      </w:pPr>
      <w:r>
        <w:rPr>
          <w:rFonts w:hint="eastAsia" w:ascii="楷体_GB2312" w:hAnsi="宋体" w:eastAsia="楷体_GB2312"/>
          <w:sz w:val="32"/>
          <w:szCs w:val="32"/>
        </w:rPr>
        <w:t>（四）其他</w:t>
      </w:r>
      <w:r>
        <w:rPr>
          <w:rFonts w:hint="eastAsia" w:ascii="楷体_GB2312" w:hAnsi="宋体" w:eastAsia="楷体_GB2312"/>
          <w:sz w:val="32"/>
          <w:szCs w:val="32"/>
          <w:highlight w:val="none"/>
        </w:rPr>
        <w:t>类别事项。</w:t>
      </w:r>
      <w:r>
        <w:rPr>
          <w:rFonts w:hint="eastAsia" w:ascii="仿宋_GB2312" w:hAnsi="宋体" w:eastAsia="仿宋_GB2312"/>
          <w:sz w:val="32"/>
          <w:szCs w:val="32"/>
          <w:lang w:eastAsia="zh-CN"/>
        </w:rPr>
        <w:t>区司法局</w:t>
      </w:r>
      <w:r>
        <w:rPr>
          <w:rFonts w:hint="eastAsia" w:ascii="仿宋_GB2312" w:hAnsi="宋体" w:eastAsia="仿宋_GB2312" w:cs="Times New Roman"/>
          <w:sz w:val="32"/>
          <w:szCs w:val="32"/>
          <w:highlight w:val="none"/>
        </w:rPr>
        <w:t>12项其他类别行政职权</w:t>
      </w:r>
      <w:r>
        <w:rPr>
          <w:rFonts w:hint="default" w:ascii="仿宋_GB2312" w:hAnsi="宋体" w:eastAsia="仿宋_GB2312" w:cs="Times New Roman"/>
          <w:sz w:val="32"/>
          <w:szCs w:val="32"/>
          <w:highlight w:val="none"/>
          <w:lang w:val="en"/>
        </w:rPr>
        <w:t>行使情况</w:t>
      </w:r>
      <w:r>
        <w:rPr>
          <w:rFonts w:hint="eastAsia" w:ascii="仿宋_GB2312" w:hAnsi="宋体" w:eastAsia="仿宋_GB2312" w:cs="Times New Roman"/>
          <w:sz w:val="32"/>
          <w:szCs w:val="32"/>
          <w:highlight w:val="none"/>
        </w:rPr>
        <w:t>：1.对公证员执业审核的初审上报</w:t>
      </w:r>
      <w:r>
        <w:rPr>
          <w:rFonts w:hint="eastAsia" w:ascii="仿宋_GB2312" w:hAnsi="宋体" w:eastAsia="仿宋_GB2312" w:cs="Times New Roman"/>
          <w:sz w:val="32"/>
          <w:szCs w:val="32"/>
          <w:highlight w:val="none"/>
          <w:lang w:val="en-US" w:eastAsia="zh-CN"/>
        </w:rPr>
        <w:t>2</w:t>
      </w:r>
      <w:r>
        <w:rPr>
          <w:rFonts w:hint="eastAsia" w:ascii="仿宋_GB2312" w:hAnsi="宋体" w:eastAsia="仿宋_GB2312" w:cs="Times New Roman"/>
          <w:sz w:val="32"/>
          <w:szCs w:val="32"/>
          <w:highlight w:val="none"/>
        </w:rPr>
        <w:t>人；2.对公证机构的年度考核</w:t>
      </w:r>
      <w:r>
        <w:rPr>
          <w:rFonts w:hint="eastAsia" w:ascii="仿宋_GB2312" w:hAnsi="宋体" w:eastAsia="仿宋_GB2312" w:cs="Times New Roman"/>
          <w:sz w:val="32"/>
          <w:szCs w:val="32"/>
          <w:highlight w:val="none"/>
          <w:lang w:val="en-US" w:eastAsia="zh-CN"/>
        </w:rPr>
        <w:t>3</w:t>
      </w:r>
      <w:r>
        <w:rPr>
          <w:rFonts w:hint="eastAsia" w:ascii="仿宋_GB2312" w:hAnsi="宋体" w:eastAsia="仿宋_GB2312" w:cs="Times New Roman"/>
          <w:sz w:val="32"/>
          <w:szCs w:val="32"/>
          <w:highlight w:val="none"/>
        </w:rPr>
        <w:t>家，全部合格；3. 对公证机构负责人的年度考核</w:t>
      </w:r>
      <w:r>
        <w:rPr>
          <w:rFonts w:hint="eastAsia" w:ascii="仿宋_GB2312" w:hAnsi="宋体" w:eastAsia="仿宋_GB2312" w:cs="Times New Roman"/>
          <w:sz w:val="32"/>
          <w:szCs w:val="32"/>
          <w:highlight w:val="none"/>
          <w:lang w:val="en-US" w:eastAsia="zh-CN"/>
        </w:rPr>
        <w:t>3</w:t>
      </w:r>
      <w:r>
        <w:rPr>
          <w:rFonts w:hint="eastAsia" w:ascii="仿宋_GB2312" w:hAnsi="宋体" w:eastAsia="仿宋_GB2312" w:cs="Times New Roman"/>
          <w:sz w:val="32"/>
          <w:szCs w:val="32"/>
          <w:highlight w:val="none"/>
        </w:rPr>
        <w:t>人，全部合格；4.对公证机构变更的初审上报</w:t>
      </w:r>
      <w:r>
        <w:rPr>
          <w:rFonts w:hint="eastAsia" w:ascii="仿宋_GB2312" w:hAnsi="宋体" w:eastAsia="仿宋_GB2312" w:cs="Times New Roman"/>
          <w:sz w:val="32"/>
          <w:szCs w:val="32"/>
          <w:highlight w:val="none"/>
          <w:lang w:val="en-US" w:eastAsia="zh-CN"/>
        </w:rPr>
        <w:t>2件</w:t>
      </w:r>
      <w:r>
        <w:rPr>
          <w:rFonts w:hint="eastAsia" w:ascii="仿宋_GB2312" w:hAnsi="宋体" w:eastAsia="仿宋_GB2312" w:cs="Times New Roman"/>
          <w:sz w:val="32"/>
          <w:szCs w:val="32"/>
          <w:highlight w:val="none"/>
        </w:rPr>
        <w:t>；5.没有对公证机构负责人变更核准；6.完成对公证员的年度考核备案3</w:t>
      </w:r>
      <w:r>
        <w:rPr>
          <w:rFonts w:hint="eastAsia" w:ascii="仿宋_GB2312" w:hAnsi="宋体" w:eastAsia="仿宋_GB2312" w:cs="Times New Roman"/>
          <w:sz w:val="32"/>
          <w:szCs w:val="32"/>
          <w:highlight w:val="none"/>
          <w:lang w:val="en-US" w:eastAsia="zh-CN"/>
        </w:rPr>
        <w:t>2</w:t>
      </w:r>
      <w:r>
        <w:rPr>
          <w:rFonts w:hint="eastAsia" w:ascii="仿宋_GB2312" w:hAnsi="宋体" w:eastAsia="仿宋_GB2312" w:cs="Times New Roman"/>
          <w:sz w:val="32"/>
          <w:szCs w:val="32"/>
          <w:highlight w:val="none"/>
        </w:rPr>
        <w:t>人；7.</w:t>
      </w:r>
      <w:r>
        <w:rPr>
          <w:rFonts w:hint="eastAsia" w:ascii="仿宋_GB2312" w:hAnsi="宋体" w:eastAsia="仿宋_GB2312" w:cs="Times New Roman"/>
          <w:sz w:val="32"/>
          <w:szCs w:val="32"/>
          <w:highlight w:val="none"/>
          <w:lang w:eastAsia="zh-CN"/>
        </w:rPr>
        <w:t>完成对区域内相关单位</w:t>
      </w:r>
      <w:r>
        <w:rPr>
          <w:rFonts w:hint="eastAsia" w:ascii="仿宋_GB2312" w:hAnsi="宋体" w:eastAsia="仿宋_GB2312" w:cs="Times New Roman"/>
          <w:sz w:val="32"/>
          <w:szCs w:val="32"/>
          <w:lang w:eastAsia="zh-CN"/>
        </w:rPr>
        <w:t>法治</w:t>
      </w:r>
      <w:r>
        <w:rPr>
          <w:rFonts w:hint="eastAsia" w:ascii="仿宋_GB2312" w:hAnsi="宋体" w:eastAsia="仿宋_GB2312" w:cs="Times New Roman"/>
          <w:sz w:val="32"/>
          <w:szCs w:val="32"/>
        </w:rPr>
        <w:t>宣传教育工作</w:t>
      </w:r>
      <w:r>
        <w:rPr>
          <w:rFonts w:hint="eastAsia" w:ascii="仿宋_GB2312" w:hAnsi="宋体" w:eastAsia="仿宋_GB2312" w:cs="Times New Roman"/>
          <w:sz w:val="32"/>
          <w:szCs w:val="32"/>
          <w:lang w:eastAsia="zh-CN"/>
        </w:rPr>
        <w:t>的</w:t>
      </w:r>
      <w:r>
        <w:rPr>
          <w:rFonts w:hint="eastAsia" w:ascii="仿宋_GB2312" w:hAnsi="宋体" w:eastAsia="仿宋_GB2312" w:cs="Times New Roman"/>
          <w:sz w:val="32"/>
          <w:szCs w:val="32"/>
        </w:rPr>
        <w:t>检查、</w:t>
      </w:r>
      <w:r>
        <w:rPr>
          <w:rFonts w:hint="eastAsia" w:ascii="仿宋_GB2312" w:hAnsi="宋体" w:eastAsia="仿宋_GB2312" w:cs="Times New Roman"/>
          <w:sz w:val="32"/>
          <w:szCs w:val="32"/>
          <w:lang w:eastAsia="zh-CN"/>
        </w:rPr>
        <w:t>考核工作</w:t>
      </w:r>
      <w:r>
        <w:rPr>
          <w:rFonts w:hint="eastAsia" w:ascii="仿宋_GB2312" w:hAnsi="宋体" w:eastAsia="仿宋_GB2312" w:cs="Times New Roman"/>
          <w:sz w:val="32"/>
          <w:szCs w:val="32"/>
          <w:highlight w:val="none"/>
        </w:rPr>
        <w:t>；8.对基层法律服务所的年度考核4家，全部合格；9. 对基层法律服务工作者的年度考核</w:t>
      </w:r>
      <w:r>
        <w:rPr>
          <w:rFonts w:hint="eastAsia" w:ascii="仿宋_GB2312" w:hAnsi="宋体" w:eastAsia="仿宋_GB2312" w:cs="Times New Roman"/>
          <w:sz w:val="32"/>
          <w:szCs w:val="32"/>
          <w:highlight w:val="none"/>
          <w:lang w:val="en-US" w:eastAsia="zh-CN"/>
        </w:rPr>
        <w:t>21</w:t>
      </w:r>
      <w:r>
        <w:rPr>
          <w:rFonts w:hint="eastAsia" w:ascii="仿宋_GB2312" w:hAnsi="宋体" w:eastAsia="仿宋_GB2312" w:cs="Times New Roman"/>
          <w:sz w:val="32"/>
          <w:szCs w:val="32"/>
          <w:highlight w:val="none"/>
        </w:rPr>
        <w:t>人，合格</w:t>
      </w:r>
      <w:r>
        <w:rPr>
          <w:rFonts w:hint="eastAsia" w:ascii="仿宋_GB2312" w:hAnsi="宋体" w:eastAsia="仿宋_GB2312" w:cs="Times New Roman"/>
          <w:sz w:val="32"/>
          <w:szCs w:val="32"/>
          <w:highlight w:val="none"/>
          <w:lang w:val="en-US" w:eastAsia="zh-CN"/>
        </w:rPr>
        <w:t>20人</w:t>
      </w:r>
      <w:r>
        <w:rPr>
          <w:rFonts w:hint="default" w:ascii="仿宋_GB2312" w:hAnsi="宋体" w:eastAsia="仿宋_GB2312" w:cs="Times New Roman"/>
          <w:sz w:val="32"/>
          <w:szCs w:val="32"/>
          <w:highlight w:val="none"/>
          <w:lang w:val="en" w:eastAsia="zh-CN"/>
        </w:rPr>
        <w:t>；</w:t>
      </w:r>
      <w:r>
        <w:rPr>
          <w:rFonts w:hint="eastAsia" w:ascii="仿宋_GB2312" w:hAnsi="宋体" w:eastAsia="仿宋_GB2312" w:cs="Times New Roman"/>
          <w:sz w:val="32"/>
          <w:szCs w:val="32"/>
          <w:highlight w:val="none"/>
        </w:rPr>
        <w:t>10.全年</w:t>
      </w:r>
      <w:r>
        <w:rPr>
          <w:rFonts w:hint="eastAsia" w:ascii="仿宋_GB2312" w:hAnsi="宋体" w:eastAsia="仿宋_GB2312" w:cs="Times New Roman"/>
          <w:sz w:val="32"/>
          <w:szCs w:val="32"/>
          <w:highlight w:val="none"/>
          <w:lang w:eastAsia="zh-CN"/>
        </w:rPr>
        <w:t>未</w:t>
      </w:r>
      <w:r>
        <w:rPr>
          <w:rFonts w:hint="eastAsia" w:ascii="仿宋_GB2312" w:hAnsi="宋体" w:eastAsia="仿宋_GB2312" w:cs="Times New Roman"/>
          <w:sz w:val="32"/>
          <w:szCs w:val="32"/>
          <w:highlight w:val="none"/>
        </w:rPr>
        <w:t>收到对法律援助机构不予援助决定异议的申请，无相关事项的审查</w:t>
      </w:r>
      <w:r>
        <w:rPr>
          <w:rFonts w:hint="default" w:ascii="仿宋_GB2312" w:hAnsi="宋体" w:eastAsia="仿宋_GB2312" w:cs="Times New Roman"/>
          <w:sz w:val="32"/>
          <w:szCs w:val="32"/>
          <w:highlight w:val="none"/>
          <w:lang w:val="en"/>
        </w:rPr>
        <w:t>；</w:t>
      </w:r>
      <w:r>
        <w:rPr>
          <w:rFonts w:hint="eastAsia" w:ascii="仿宋_GB2312" w:hAnsi="宋体" w:eastAsia="仿宋_GB2312" w:cs="Times New Roman"/>
          <w:sz w:val="32"/>
          <w:szCs w:val="32"/>
          <w:highlight w:val="none"/>
        </w:rPr>
        <w:t>11.行政复议案件</w:t>
      </w:r>
      <w:r>
        <w:rPr>
          <w:rFonts w:hint="eastAsia" w:ascii="仿宋_GB2312" w:hAnsi="宋体" w:eastAsia="仿宋_GB2312" w:cs="Times New Roman"/>
          <w:sz w:val="32"/>
          <w:szCs w:val="32"/>
          <w:highlight w:val="none"/>
          <w:lang w:eastAsia="zh-CN"/>
        </w:rPr>
        <w:t>办结</w:t>
      </w:r>
      <w:r>
        <w:rPr>
          <w:rFonts w:hint="eastAsia" w:ascii="仿宋_GB2312" w:hAnsi="宋体" w:eastAsia="仿宋_GB2312" w:cs="Times New Roman"/>
          <w:sz w:val="32"/>
          <w:szCs w:val="32"/>
          <w:highlight w:val="none"/>
          <w:lang w:val="en-US" w:eastAsia="zh-CN"/>
        </w:rPr>
        <w:t>377</w:t>
      </w:r>
      <w:r>
        <w:rPr>
          <w:rFonts w:hint="eastAsia" w:ascii="仿宋_GB2312" w:hAnsi="宋体" w:eastAsia="仿宋_GB2312" w:cs="Times New Roman"/>
          <w:sz w:val="32"/>
          <w:szCs w:val="32"/>
          <w:highlight w:val="none"/>
        </w:rPr>
        <w:t>件</w:t>
      </w:r>
      <w:r>
        <w:rPr>
          <w:rFonts w:hint="default" w:ascii="仿宋_GB2312" w:hAnsi="宋体" w:eastAsia="仿宋_GB2312" w:cs="Times New Roman"/>
          <w:sz w:val="32"/>
          <w:szCs w:val="32"/>
          <w:highlight w:val="none"/>
          <w:lang w:val="en"/>
        </w:rPr>
        <w:t>；</w:t>
      </w:r>
      <w:r>
        <w:rPr>
          <w:rFonts w:hint="eastAsia" w:ascii="仿宋_GB2312" w:hAnsi="宋体" w:eastAsia="仿宋_GB2312" w:cs="Times New Roman"/>
          <w:sz w:val="32"/>
          <w:szCs w:val="32"/>
          <w:highlight w:val="none"/>
        </w:rPr>
        <w:t>12. 行政复议案件调解结案</w:t>
      </w:r>
      <w:r>
        <w:rPr>
          <w:rFonts w:hint="eastAsia" w:ascii="仿宋_GB2312" w:hAnsi="宋体" w:eastAsia="仿宋_GB2312" w:cs="Times New Roman"/>
          <w:sz w:val="32"/>
          <w:szCs w:val="32"/>
          <w:highlight w:val="none"/>
          <w:lang w:val="en-US" w:eastAsia="zh-CN"/>
        </w:rPr>
        <w:t>7</w:t>
      </w:r>
      <w:r>
        <w:rPr>
          <w:rFonts w:hint="eastAsia" w:ascii="仿宋_GB2312" w:hAnsi="宋体" w:eastAsia="仿宋_GB2312" w:cs="Times New Roman"/>
          <w:sz w:val="32"/>
          <w:szCs w:val="32"/>
          <w:highlight w:val="none"/>
        </w:rPr>
        <w:t>件。</w:t>
      </w:r>
    </w:p>
    <w:p>
      <w:pPr>
        <w:keepNext w:val="0"/>
        <w:keepLines w:val="0"/>
        <w:pageBreakBefore w:val="0"/>
        <w:widowControl w:val="0"/>
        <w:kinsoku/>
        <w:wordWrap/>
        <w:overflowPunct/>
        <w:topLinePunct w:val="0"/>
        <w:autoSpaceDE/>
        <w:autoSpaceDN/>
        <w:bidi w:val="0"/>
        <w:adjustRightInd/>
        <w:snapToGrid/>
        <w:spacing w:line="600" w:lineRule="exact"/>
        <w:ind w:firstLine="622" w:firstLineChars="200"/>
        <w:jc w:val="left"/>
        <w:textAlignment w:val="auto"/>
        <w:rPr>
          <w:rFonts w:ascii="黑体" w:hAnsi="黑体" w:eastAsia="黑体"/>
          <w:sz w:val="32"/>
          <w:szCs w:val="32"/>
        </w:rPr>
      </w:pPr>
      <w:r>
        <w:rPr>
          <w:rFonts w:hint="eastAsia" w:ascii="黑体" w:hAnsi="黑体" w:eastAsia="黑体"/>
          <w:sz w:val="32"/>
          <w:szCs w:val="32"/>
        </w:rPr>
        <w:t>三、行政执法案件投诉处理情况</w:t>
      </w:r>
    </w:p>
    <w:p>
      <w:pPr>
        <w:keepNext w:val="0"/>
        <w:keepLines w:val="0"/>
        <w:pageBreakBefore w:val="0"/>
        <w:widowControl w:val="0"/>
        <w:kinsoku/>
        <w:wordWrap/>
        <w:overflowPunct/>
        <w:topLinePunct w:val="0"/>
        <w:autoSpaceDE/>
        <w:autoSpaceDN/>
        <w:bidi w:val="0"/>
        <w:adjustRightInd/>
        <w:snapToGrid/>
        <w:spacing w:line="600" w:lineRule="exact"/>
        <w:ind w:firstLine="622" w:firstLineChars="200"/>
        <w:jc w:val="left"/>
        <w:textAlignment w:val="auto"/>
        <w:rPr>
          <w:rFonts w:ascii="仿宋_GB2312" w:hAnsi="宋体" w:eastAsia="仿宋_GB2312"/>
          <w:sz w:val="32"/>
          <w:szCs w:val="32"/>
        </w:rPr>
      </w:pPr>
      <w:r>
        <w:rPr>
          <w:rFonts w:hint="eastAsia" w:ascii="仿宋_GB2312" w:hAnsi="宋体" w:eastAsia="仿宋_GB2312"/>
          <w:sz w:val="32"/>
          <w:szCs w:val="32"/>
        </w:rPr>
        <w:t>加强对行政执法活动的主动监督。</w:t>
      </w:r>
      <w:r>
        <w:rPr>
          <w:rFonts w:hint="eastAsia" w:ascii="仿宋_GB2312" w:hAnsi="宋体" w:eastAsia="仿宋_GB2312"/>
          <w:sz w:val="32"/>
          <w:szCs w:val="32"/>
          <w:lang w:eastAsia="zh-CN"/>
        </w:rPr>
        <w:t>结合全区月考核、月通报和末</w:t>
      </w:r>
      <w:r>
        <w:rPr>
          <w:rFonts w:hint="default" w:ascii="仿宋_GB2312" w:hAnsi="宋体" w:eastAsia="仿宋_GB2312"/>
          <w:sz w:val="32"/>
          <w:szCs w:val="32"/>
          <w:lang w:val="en" w:eastAsia="zh-CN"/>
        </w:rPr>
        <w:t>位</w:t>
      </w:r>
      <w:r>
        <w:rPr>
          <w:rFonts w:hint="eastAsia" w:ascii="仿宋_GB2312" w:hAnsi="宋体" w:eastAsia="仿宋_GB2312"/>
          <w:sz w:val="32"/>
          <w:szCs w:val="32"/>
          <w:lang w:eastAsia="zh-CN"/>
        </w:rPr>
        <w:t>约谈制度等，</w:t>
      </w:r>
      <w:r>
        <w:rPr>
          <w:rFonts w:hint="eastAsia" w:ascii="仿宋_GB2312" w:hAnsi="宋体" w:eastAsia="仿宋_GB2312"/>
          <w:sz w:val="32"/>
          <w:szCs w:val="32"/>
        </w:rPr>
        <w:t>认真做好</w:t>
      </w:r>
      <w:r>
        <w:rPr>
          <w:rFonts w:hint="eastAsia" w:ascii="仿宋_GB2312" w:hAnsi="宋体" w:eastAsia="仿宋_GB2312"/>
          <w:sz w:val="32"/>
          <w:szCs w:val="32"/>
          <w:lang w:eastAsia="zh-CN"/>
        </w:rPr>
        <w:t>主动主动履行职责，</w:t>
      </w:r>
      <w:r>
        <w:rPr>
          <w:rFonts w:hint="default" w:ascii="仿宋_GB2312" w:hAnsi="宋体" w:eastAsia="仿宋_GB2312"/>
          <w:sz w:val="32"/>
          <w:szCs w:val="32"/>
          <w:lang w:val="en"/>
        </w:rPr>
        <w:t>案卷</w:t>
      </w:r>
      <w:r>
        <w:rPr>
          <w:rFonts w:hint="eastAsia" w:ascii="仿宋_GB2312" w:hAnsi="宋体" w:eastAsia="仿宋_GB2312"/>
          <w:sz w:val="32"/>
          <w:szCs w:val="32"/>
        </w:rPr>
        <w:t>主动抽样</w:t>
      </w:r>
      <w:r>
        <w:rPr>
          <w:rFonts w:hint="default" w:ascii="仿宋_GB2312" w:hAnsi="宋体" w:eastAsia="仿宋_GB2312"/>
          <w:sz w:val="32"/>
          <w:szCs w:val="32"/>
          <w:lang w:val="en"/>
        </w:rPr>
        <w:t>检查，</w:t>
      </w:r>
      <w:r>
        <w:rPr>
          <w:rFonts w:hint="eastAsia" w:ascii="仿宋_GB2312" w:hAnsi="宋体" w:eastAsia="仿宋_GB2312"/>
          <w:sz w:val="32"/>
          <w:szCs w:val="32"/>
        </w:rPr>
        <w:t>重大案件主动监督，及时处理自动预警和交办转办监督案件，</w:t>
      </w:r>
      <w:r>
        <w:rPr>
          <w:rFonts w:hint="default" w:ascii="仿宋_GB2312" w:hAnsi="宋体" w:eastAsia="仿宋_GB2312"/>
          <w:sz w:val="32"/>
          <w:szCs w:val="32"/>
          <w:lang w:val="en"/>
        </w:rPr>
        <w:t>全年</w:t>
      </w:r>
      <w:r>
        <w:rPr>
          <w:rFonts w:hint="eastAsia" w:ascii="仿宋_GB2312" w:hAnsi="宋体" w:eastAsia="仿宋_GB2312" w:cs="Times New Roman"/>
          <w:sz w:val="32"/>
          <w:szCs w:val="32"/>
          <w:lang w:val="en-US" w:eastAsia="zh-CN"/>
        </w:rPr>
        <w:t>抽查案卷合格率100%，</w:t>
      </w:r>
      <w:r>
        <w:rPr>
          <w:rFonts w:hint="eastAsia" w:ascii="仿宋_GB2312" w:hAnsi="宋体" w:eastAsia="仿宋_GB2312" w:cs="Times New Roman"/>
          <w:sz w:val="32"/>
          <w:szCs w:val="32"/>
        </w:rPr>
        <w:t>重大案件监督率100%。高度重视群众反映的行政违法行为，在局门户网站公开监督方式和投诉举报电话，全年未接到对</w:t>
      </w:r>
      <w:r>
        <w:rPr>
          <w:rFonts w:hint="eastAsia" w:ascii="仿宋_GB2312" w:hAnsi="宋体" w:eastAsia="仿宋_GB2312" w:cs="Times New Roman"/>
          <w:sz w:val="32"/>
          <w:szCs w:val="32"/>
          <w:lang w:eastAsia="zh-CN"/>
        </w:rPr>
        <w:t>区司法局</w:t>
      </w:r>
      <w:r>
        <w:rPr>
          <w:rFonts w:hint="eastAsia" w:ascii="仿宋_GB2312" w:hAnsi="宋体" w:eastAsia="仿宋_GB2312"/>
          <w:sz w:val="32"/>
          <w:szCs w:val="32"/>
        </w:rPr>
        <w:t>行政执法相关工作的投诉。</w:t>
      </w:r>
    </w:p>
    <w:p>
      <w:pPr>
        <w:keepNext w:val="0"/>
        <w:keepLines w:val="0"/>
        <w:pageBreakBefore w:val="0"/>
        <w:widowControl w:val="0"/>
        <w:kinsoku/>
        <w:wordWrap/>
        <w:overflowPunct/>
        <w:topLinePunct w:val="0"/>
        <w:autoSpaceDE/>
        <w:autoSpaceDN/>
        <w:bidi w:val="0"/>
        <w:adjustRightInd/>
        <w:snapToGrid/>
        <w:spacing w:line="600" w:lineRule="exact"/>
        <w:ind w:firstLine="622" w:firstLineChars="200"/>
        <w:jc w:val="left"/>
        <w:textAlignment w:val="auto"/>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22" w:firstLineChars="200"/>
        <w:jc w:val="left"/>
        <w:textAlignment w:val="auto"/>
        <w:rPr>
          <w:rFonts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22" w:firstLineChars="200"/>
        <w:jc w:val="left"/>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1330" w:rightChars="662" w:firstLine="622" w:firstLineChars="200"/>
        <w:jc w:val="right"/>
        <w:textAlignment w:val="auto"/>
        <w:rPr>
          <w:rFonts w:ascii="仿宋_GB2312" w:hAnsi="宋体" w:eastAsia="仿宋_GB2312"/>
          <w:sz w:val="32"/>
          <w:szCs w:val="32"/>
        </w:rPr>
      </w:pPr>
      <w:r>
        <w:rPr>
          <w:rFonts w:ascii="仿宋_GB2312" w:hAnsi="宋体" w:eastAsia="仿宋_GB2312"/>
          <w:sz w:val="32"/>
          <w:szCs w:val="32"/>
        </w:rPr>
        <w:t>20</w:t>
      </w:r>
      <w:r>
        <w:rPr>
          <w:rFonts w:hint="eastAsia" w:ascii="仿宋_GB2312" w:hAnsi="宋体" w:eastAsia="仿宋_GB2312"/>
          <w:sz w:val="32"/>
          <w:szCs w:val="32"/>
        </w:rPr>
        <w:t>2</w:t>
      </w:r>
      <w:r>
        <w:rPr>
          <w:rFonts w:hint="eastAsia" w:ascii="仿宋_GB2312" w:hAnsi="宋体" w:eastAsia="仿宋_GB2312"/>
          <w:sz w:val="32"/>
          <w:szCs w:val="32"/>
          <w:lang w:val="en-US" w:eastAsia="zh-CN"/>
        </w:rPr>
        <w:t>3</w:t>
      </w:r>
      <w:r>
        <w:rPr>
          <w:rFonts w:ascii="仿宋_GB2312" w:hAnsi="宋体" w:eastAsia="仿宋_GB2312"/>
          <w:sz w:val="32"/>
          <w:szCs w:val="32"/>
        </w:rPr>
        <w:t>年1月</w:t>
      </w:r>
      <w:r>
        <w:rPr>
          <w:rFonts w:hint="eastAsia" w:ascii="仿宋_GB2312" w:hAnsi="宋体" w:eastAsia="仿宋_GB2312"/>
          <w:sz w:val="32"/>
          <w:szCs w:val="32"/>
          <w:lang w:val="en-US" w:eastAsia="zh-CN"/>
        </w:rPr>
        <w:t xml:space="preserve">28 </w:t>
      </w:r>
      <w:r>
        <w:rPr>
          <w:rFonts w:ascii="仿宋_GB2312" w:hAnsi="宋体" w:eastAsia="仿宋_GB2312"/>
          <w:sz w:val="32"/>
          <w:szCs w:val="32"/>
        </w:rPr>
        <w:t>日</w:t>
      </w:r>
    </w:p>
    <w:p>
      <w:pPr>
        <w:jc w:val="left"/>
        <w:rPr>
          <w:rFonts w:hint="eastAsia" w:ascii="仿宋_GB2312" w:hAnsi="仿宋_GB2312" w:eastAsia="仿宋_GB2312" w:cs="仿宋_GB2312"/>
          <w:sz w:val="32"/>
          <w:szCs w:val="32"/>
        </w:rPr>
      </w:pPr>
    </w:p>
    <w:p>
      <w:pPr>
        <w:ind w:firstLine="680"/>
        <w:jc w:val="left"/>
        <w:rPr>
          <w:rFonts w:hint="eastAsia" w:ascii="仿宋" w:hAnsi="仿宋" w:eastAsia="仿宋"/>
          <w:sz w:val="34"/>
          <w:szCs w:val="34"/>
        </w:rPr>
      </w:pPr>
    </w:p>
    <w:p>
      <w:pPr>
        <w:ind w:firstLine="680"/>
        <w:jc w:val="left"/>
        <w:rPr>
          <w:rFonts w:hint="eastAsia" w:ascii="仿宋" w:hAnsi="仿宋" w:eastAsia="仿宋"/>
          <w:sz w:val="34"/>
          <w:szCs w:val="34"/>
        </w:rPr>
      </w:pPr>
    </w:p>
    <w:p>
      <w:pPr>
        <w:ind w:firstLine="680"/>
        <w:jc w:val="left"/>
        <w:rPr>
          <w:rFonts w:hint="eastAsia" w:ascii="仿宋" w:hAnsi="仿宋" w:eastAsia="仿宋"/>
          <w:sz w:val="34"/>
          <w:szCs w:val="34"/>
        </w:rPr>
      </w:pPr>
    </w:p>
    <w:p>
      <w:pPr>
        <w:ind w:firstLine="680"/>
        <w:jc w:val="left"/>
        <w:rPr>
          <w:rFonts w:hint="eastAsia" w:ascii="仿宋" w:hAnsi="仿宋" w:eastAsia="仿宋"/>
          <w:sz w:val="34"/>
          <w:szCs w:val="34"/>
        </w:rPr>
      </w:pPr>
    </w:p>
    <w:sectPr>
      <w:footerReference r:id="rId3" w:type="default"/>
      <w:footerReference r:id="rId4" w:type="even"/>
      <w:pgSz w:w="11906" w:h="16838"/>
      <w:pgMar w:top="1446" w:right="1474" w:bottom="1134" w:left="1587" w:header="0" w:footer="907" w:gutter="0"/>
      <w:pgNumType w:fmt="numberInDash" w:start="1"/>
      <w:cols w:space="720" w:num="1"/>
      <w:docGrid w:type="linesAndChars" w:linePitch="318"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- 0 -</w:t>
    </w:r>
    <w:r>
      <w:rPr>
        <w:rStyle w:val="8"/>
      </w:rPr>
      <w:fldChar w:fldCharType="end"/>
    </w:r>
  </w:p>
  <w:p>
    <w:pPr>
      <w:pStyle w:val="4"/>
      <w:spacing w:line="100" w:lineRule="exact"/>
      <w:ind w:right="360" w:firstLine="360"/>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revisionView w:markup="0"/>
  <w:trackRevisions w:val="true"/>
  <w:documentProtection w:enforcement="0"/>
  <w:defaultTabStop w:val="420"/>
  <w:drawingGridHorizontalSpacing w:val="201"/>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652F"/>
    <w:rsid w:val="00421050"/>
    <w:rsid w:val="00426B29"/>
    <w:rsid w:val="00445DAB"/>
    <w:rsid w:val="0045587F"/>
    <w:rsid w:val="0048235C"/>
    <w:rsid w:val="00533F00"/>
    <w:rsid w:val="00594B34"/>
    <w:rsid w:val="005D504E"/>
    <w:rsid w:val="008A5DD5"/>
    <w:rsid w:val="00944CD4"/>
    <w:rsid w:val="00AA4059"/>
    <w:rsid w:val="00B77ED9"/>
    <w:rsid w:val="00BA5B02"/>
    <w:rsid w:val="00C15BA7"/>
    <w:rsid w:val="00E319F4"/>
    <w:rsid w:val="00FD407D"/>
    <w:rsid w:val="00FE70AE"/>
    <w:rsid w:val="6FFF4970"/>
    <w:rsid w:val="7DBD4FA3"/>
    <w:rsid w:val="A9FFFE55"/>
    <w:rsid w:val="CCBF78C5"/>
    <w:rsid w:val="FDFFC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qFormat/>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rPr>
      <w:rFonts w:ascii="仿宋_GB2312" w:eastAsia="仿宋_GB2312"/>
      <w:sz w:val="32"/>
    </w:r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styleId="9">
    <w:name w:val="List Paragraph"/>
    <w:basedOn w:val="1"/>
    <w:qFormat/>
    <w:uiPriority w:val="0"/>
    <w:pPr>
      <w:ind w:firstLine="420" w:firstLineChars="200"/>
    </w:pPr>
  </w:style>
  <w:style w:type="character" w:customStyle="1" w:styleId="10">
    <w:name w:val="Hei Ti"/>
    <w:qFormat/>
    <w:uiPriority w:val="0"/>
    <w:rPr>
      <w:rFonts w:ascii="黑体" w:hAnsi="黑体" w:eastAsia="黑体" w:cs="黑体"/>
      <w:sz w:val="32"/>
    </w:rPr>
  </w:style>
  <w:style w:type="character" w:customStyle="1" w:styleId="11">
    <w:name w:val="Hei Ti Bold"/>
    <w:qFormat/>
    <w:uiPriority w:val="0"/>
    <w:rPr>
      <w:rFonts w:ascii="黑体" w:hAnsi="黑体" w:eastAsia="黑体" w:cs="黑体"/>
      <w:b/>
      <w:sz w:val="32"/>
    </w:rPr>
  </w:style>
  <w:style w:type="character" w:customStyle="1" w:styleId="12">
    <w:name w:val="Hei Ti Bold1"/>
    <w:qFormat/>
    <w:uiPriority w:val="0"/>
    <w:rPr>
      <w:rFonts w:ascii="黑体" w:hAnsi="黑体" w:eastAsia="黑体" w:cs="黑体"/>
      <w:b/>
      <w:sz w:val="36"/>
    </w:rPr>
  </w:style>
  <w:style w:type="character" w:customStyle="1" w:styleId="13">
    <w:name w:val="GB_2312"/>
    <w:qFormat/>
    <w:uiPriority w:val="0"/>
    <w:rPr>
      <w:rFonts w:ascii="仿宋_GB2312" w:hAnsi="仿宋_GB2312" w:eastAsia="仿宋_GB2312" w:cs="仿宋_GB2312"/>
      <w:sz w:val="32"/>
    </w:rPr>
  </w:style>
  <w:style w:type="character" w:customStyle="1" w:styleId="14">
    <w:name w:val="GB_23121"/>
    <w:qFormat/>
    <w:uiPriority w:val="0"/>
    <w:rPr>
      <w:rFonts w:ascii="仿宋_GB2312" w:hAnsi="仿宋_GB2312" w:eastAsia="仿宋_GB2312" w:cs="仿宋_GB2312"/>
      <w:sz w:val="36"/>
    </w:rPr>
  </w:style>
  <w:style w:type="character" w:customStyle="1" w:styleId="15">
    <w:name w:val="Red_Color"/>
    <w:qFormat/>
    <w:uiPriority w:val="0"/>
    <w:rPr>
      <w:rFonts w:ascii="方正小标宋简体" w:hAnsi="方正小标宋简体" w:eastAsia="方正小标宋简体" w:cs="方正小标宋简体"/>
      <w:color w:val="000000"/>
      <w:sz w:val="65"/>
    </w:rPr>
  </w:style>
  <w:style w:type="character" w:customStyle="1" w:styleId="16">
    <w:name w:val="KaiTi"/>
    <w:qFormat/>
    <w:uiPriority w:val="0"/>
    <w:rPr>
      <w:rFonts w:ascii="楷体_GB2312" w:hAnsi="楷体_GB2312" w:eastAsia="楷体_GB2312" w:cs="楷体_GB2312"/>
      <w:sz w:val="32"/>
    </w:rPr>
  </w:style>
  <w:style w:type="character" w:customStyle="1" w:styleId="17">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tjec</Company>
  <Pages>1</Pages>
  <Words>11</Words>
  <Characters>66</Characters>
  <Lines>1</Lines>
  <Paragraphs>1</Paragraphs>
  <TotalTime>1</TotalTime>
  <ScaleCrop>false</ScaleCrop>
  <LinksUpToDate>false</LinksUpToDate>
  <CharactersWithSpaces>76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2020-11-06T23:10:00Z</dcterms:created>
  <dc:creator>办公室</dc:creator>
  <cp:lastModifiedBy>kylin</cp:lastModifiedBy>
  <cp:lastPrinted>2012-09-04T22:28:00Z</cp:lastPrinted>
  <dcterms:modified xsi:type="dcterms:W3CDTF">2023-01-28T09:25:40Z</dcterms:modified>
  <dc:title>津经[2003]号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