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D4" w:rsidRPr="004D418E" w:rsidRDefault="004D418E" w:rsidP="004D418E">
      <w:pPr>
        <w:spacing w:line="600" w:lineRule="exact"/>
        <w:jc w:val="center"/>
        <w:rPr>
          <w:rFonts w:ascii="方正小标宋简体" w:eastAsia="方正小标宋简体"/>
          <w:bCs/>
          <w:color w:val="4D4F53"/>
          <w:sz w:val="44"/>
          <w:szCs w:val="44"/>
        </w:rPr>
      </w:pPr>
      <w:r w:rsidRPr="004D418E">
        <w:rPr>
          <w:rFonts w:ascii="方正小标宋简体" w:eastAsia="方正小标宋简体" w:hint="eastAsia"/>
          <w:bCs/>
          <w:color w:val="4D4F53"/>
          <w:sz w:val="44"/>
          <w:szCs w:val="44"/>
        </w:rPr>
        <w:t>关于对律师事务所开展“双随机、</w:t>
      </w:r>
      <w:proofErr w:type="gramStart"/>
      <w:r w:rsidRPr="004D418E">
        <w:rPr>
          <w:rFonts w:ascii="方正小标宋简体" w:eastAsia="方正小标宋简体" w:hint="eastAsia"/>
          <w:bCs/>
          <w:color w:val="4D4F53"/>
          <w:sz w:val="44"/>
          <w:szCs w:val="44"/>
        </w:rPr>
        <w:t>一</w:t>
      </w:r>
      <w:proofErr w:type="gramEnd"/>
      <w:r w:rsidRPr="004D418E">
        <w:rPr>
          <w:rFonts w:ascii="方正小标宋简体" w:eastAsia="方正小标宋简体" w:hint="eastAsia"/>
          <w:bCs/>
          <w:color w:val="4D4F53"/>
          <w:sz w:val="44"/>
          <w:szCs w:val="44"/>
        </w:rPr>
        <w:t>公开”检查的方案(2021年2季度)</w:t>
      </w:r>
    </w:p>
    <w:p w:rsidR="004D418E" w:rsidRPr="004D418E" w:rsidRDefault="004D418E" w:rsidP="004D418E">
      <w:pPr>
        <w:spacing w:line="600" w:lineRule="exact"/>
        <w:rPr>
          <w:rFonts w:ascii="仿宋_GB2312" w:eastAsia="仿宋_GB2312"/>
          <w:b/>
          <w:bCs/>
          <w:color w:val="4D4F53"/>
          <w:sz w:val="32"/>
          <w:szCs w:val="32"/>
        </w:rPr>
      </w:pP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按照市区关于“双随机、</w:t>
      </w:r>
      <w:proofErr w:type="gramStart"/>
      <w:r w:rsidRPr="004D418E">
        <w:rPr>
          <w:rFonts w:ascii="仿宋_GB2312" w:eastAsia="仿宋_GB2312" w:hAnsi="微软雅黑" w:hint="eastAsia"/>
          <w:color w:val="4D4F53"/>
          <w:sz w:val="32"/>
          <w:szCs w:val="32"/>
        </w:rPr>
        <w:t>一</w:t>
      </w:r>
      <w:proofErr w:type="gramEnd"/>
      <w:r w:rsidRPr="004D418E">
        <w:rPr>
          <w:rFonts w:ascii="仿宋_GB2312" w:eastAsia="仿宋_GB2312" w:hAnsi="微软雅黑" w:hint="eastAsia"/>
          <w:color w:val="4D4F53"/>
          <w:sz w:val="32"/>
          <w:szCs w:val="32"/>
        </w:rPr>
        <w:t>公开”的文件要求，结合《天津市律师行业突出问题专项治理自查核查阶段实施方案》的内容，近期将对本区律师事务所进行随机抽查和调查走访工作，重点对近三年投诉举报较多、受过处罚处分、管理混乱的律师事务所进行调查走访。现将具体工作安排如下：</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一、时间安排：即日起至6月30日前完成。</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二、人员安排：随机抽查和调查走访组由律师行业党委成员与司法局公共法律服务室人员组成，每组2人，每组至少检查1家律师事务所所。</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三、抽查走访的检查内容：</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1、 律师收案、收费情况。依托律师管理系统、中国裁判</w:t>
      </w:r>
      <w:proofErr w:type="gramStart"/>
      <w:r w:rsidRPr="004D418E">
        <w:rPr>
          <w:rFonts w:ascii="仿宋_GB2312" w:eastAsia="仿宋_GB2312" w:hAnsi="微软雅黑" w:hint="eastAsia"/>
          <w:color w:val="4D4F53"/>
          <w:sz w:val="32"/>
          <w:szCs w:val="32"/>
        </w:rPr>
        <w:t>文书网</w:t>
      </w:r>
      <w:proofErr w:type="gramEnd"/>
      <w:r w:rsidRPr="004D418E">
        <w:rPr>
          <w:rFonts w:ascii="仿宋_GB2312" w:eastAsia="仿宋_GB2312" w:hAnsi="微软雅黑" w:hint="eastAsia"/>
          <w:color w:val="4D4F53"/>
          <w:sz w:val="32"/>
          <w:szCs w:val="32"/>
        </w:rPr>
        <w:t>等随机抽取一定比例的案件，与律师事务所业务档案、收费票据进行比对，对当事人进行回访，查找违规收案、</w:t>
      </w:r>
      <w:proofErr w:type="gramStart"/>
      <w:r w:rsidRPr="004D418E">
        <w:rPr>
          <w:rFonts w:ascii="仿宋_GB2312" w:eastAsia="仿宋_GB2312" w:hAnsi="微软雅黑" w:hint="eastAsia"/>
          <w:color w:val="4D4F53"/>
          <w:sz w:val="32"/>
          <w:szCs w:val="32"/>
        </w:rPr>
        <w:t>收考核</w:t>
      </w:r>
      <w:proofErr w:type="gramEnd"/>
      <w:r w:rsidRPr="004D418E">
        <w:rPr>
          <w:rFonts w:ascii="仿宋_GB2312" w:eastAsia="仿宋_GB2312" w:hAnsi="微软雅黑" w:hint="eastAsia"/>
          <w:color w:val="4D4F53"/>
          <w:sz w:val="32"/>
          <w:szCs w:val="32"/>
        </w:rPr>
        <w:t>评估费或者其他违法违规线索。</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2、对律所违规设立办公场所、业务接待点等进行调查。</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3、对律所官网、</w:t>
      </w:r>
      <w:proofErr w:type="gramStart"/>
      <w:r w:rsidRPr="004D418E">
        <w:rPr>
          <w:rFonts w:ascii="仿宋_GB2312" w:eastAsia="仿宋_GB2312" w:hAnsi="微软雅黑" w:hint="eastAsia"/>
          <w:color w:val="4D4F53"/>
          <w:sz w:val="32"/>
          <w:szCs w:val="32"/>
        </w:rPr>
        <w:t>微信公众号</w:t>
      </w:r>
      <w:proofErr w:type="gramEnd"/>
      <w:r w:rsidRPr="004D418E">
        <w:rPr>
          <w:rFonts w:ascii="仿宋_GB2312" w:eastAsia="仿宋_GB2312" w:hAnsi="微软雅黑" w:hint="eastAsia"/>
          <w:color w:val="4D4F53"/>
          <w:sz w:val="32"/>
          <w:szCs w:val="32"/>
        </w:rPr>
        <w:t>、律师个人社交平台进行抽查，</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及时发现虚假不当宣传等违法违规行为。</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4、律师行业突出问题专项治理档案。</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lastRenderedPageBreak/>
        <w:t>四、工作要求：</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1、各律师事务所按照《关于进一步做好律师行业突出问题专项治理工作自查核查阶段工作的通知》中规定的目录要求对本所律师行业突出问题专项治理工作案卷建档立卷。</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2、调查走访组按照时间要求，提前与各律所联系，走访调查时，与各律所主任和行政内勤谈话，查阅档案并做好记录，对发现的问题及时上报给公共法律服务室。</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 xml:space="preserve">联系人：白婷 </w:t>
      </w:r>
      <w:r w:rsidRPr="004D418E">
        <w:rPr>
          <w:rFonts w:ascii="仿宋_GB2312" w:eastAsia="仿宋_GB2312" w:hAnsi="微软雅黑" w:hint="eastAsia"/>
          <w:color w:val="4D4F53"/>
          <w:sz w:val="32"/>
          <w:szCs w:val="32"/>
        </w:rPr>
        <w:t> </w:t>
      </w:r>
      <w:r w:rsidRPr="004D418E">
        <w:rPr>
          <w:rFonts w:ascii="仿宋_GB2312" w:eastAsia="仿宋_GB2312" w:hAnsi="微软雅黑" w:hint="eastAsia"/>
          <w:color w:val="4D4F53"/>
          <w:sz w:val="32"/>
          <w:szCs w:val="32"/>
        </w:rPr>
        <w:t>联系电话</w:t>
      </w:r>
      <w:r w:rsidR="00012E4A">
        <w:rPr>
          <w:rFonts w:ascii="仿宋_GB2312" w:eastAsia="仿宋_GB2312" w:hAnsi="微软雅黑" w:hint="eastAsia"/>
          <w:color w:val="4D4F53"/>
          <w:sz w:val="32"/>
          <w:szCs w:val="32"/>
        </w:rPr>
        <w:t>：0</w:t>
      </w:r>
      <w:r w:rsidR="00012E4A">
        <w:rPr>
          <w:rFonts w:ascii="仿宋_GB2312" w:eastAsia="仿宋_GB2312" w:hAnsi="微软雅黑"/>
          <w:color w:val="4D4F53"/>
          <w:sz w:val="32"/>
          <w:szCs w:val="32"/>
        </w:rPr>
        <w:t>22-</w:t>
      </w:r>
      <w:bookmarkStart w:id="0" w:name="_GoBack"/>
      <w:bookmarkEnd w:id="0"/>
      <w:r w:rsidRPr="004D418E">
        <w:rPr>
          <w:rFonts w:ascii="仿宋_GB2312" w:eastAsia="仿宋_GB2312" w:hAnsi="微软雅黑" w:hint="eastAsia"/>
          <w:color w:val="4D4F53"/>
          <w:sz w:val="32"/>
          <w:szCs w:val="32"/>
        </w:rPr>
        <w:t>65305521</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附件：第二季度“双随机、</w:t>
      </w:r>
      <w:proofErr w:type="gramStart"/>
      <w:r w:rsidRPr="004D418E">
        <w:rPr>
          <w:rFonts w:ascii="仿宋_GB2312" w:eastAsia="仿宋_GB2312" w:hAnsi="微软雅黑" w:hint="eastAsia"/>
          <w:color w:val="4D4F53"/>
          <w:sz w:val="32"/>
          <w:szCs w:val="32"/>
        </w:rPr>
        <w:t>一</w:t>
      </w:r>
      <w:proofErr w:type="gramEnd"/>
      <w:r w:rsidRPr="004D418E">
        <w:rPr>
          <w:rFonts w:ascii="仿宋_GB2312" w:eastAsia="仿宋_GB2312" w:hAnsi="微软雅黑" w:hint="eastAsia"/>
          <w:color w:val="4D4F53"/>
          <w:sz w:val="32"/>
          <w:szCs w:val="32"/>
        </w:rPr>
        <w:t>公开”抽查律师事务所名单及抽查人员名单</w:t>
      </w: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p>
    <w:p w:rsid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p>
    <w:p w:rsidR="004D418E" w:rsidRPr="004D418E" w:rsidRDefault="004D418E" w:rsidP="004D418E">
      <w:pPr>
        <w:pStyle w:val="a3"/>
        <w:shd w:val="clear" w:color="auto" w:fill="FFFFFF"/>
        <w:spacing w:before="0" w:beforeAutospacing="0" w:after="0" w:afterAutospacing="0" w:line="600" w:lineRule="exact"/>
        <w:ind w:firstLine="482"/>
        <w:jc w:val="both"/>
        <w:rPr>
          <w:rFonts w:ascii="仿宋_GB2312" w:eastAsia="仿宋_GB2312" w:hAnsi="微软雅黑"/>
          <w:color w:val="4D4F53"/>
          <w:sz w:val="32"/>
          <w:szCs w:val="32"/>
        </w:rPr>
      </w:pPr>
    </w:p>
    <w:p w:rsid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2021年5月27日</w:t>
      </w:r>
    </w:p>
    <w:p w:rsid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p>
    <w:p w:rsid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p>
    <w:p w:rsid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p>
    <w:p w:rsid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p>
    <w:p w:rsid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p>
    <w:p w:rsidR="004D418E" w:rsidRPr="004D418E" w:rsidRDefault="004D418E" w:rsidP="004D418E">
      <w:pPr>
        <w:pStyle w:val="a3"/>
        <w:shd w:val="clear" w:color="auto" w:fill="FFFFFF"/>
        <w:spacing w:before="0" w:beforeAutospacing="0" w:after="0" w:afterAutospacing="0" w:line="600" w:lineRule="exact"/>
        <w:ind w:firstLine="482"/>
        <w:jc w:val="right"/>
        <w:rPr>
          <w:rFonts w:ascii="仿宋_GB2312" w:eastAsia="仿宋_GB2312" w:hAnsi="微软雅黑"/>
          <w:color w:val="4D4F53"/>
          <w:sz w:val="32"/>
          <w:szCs w:val="32"/>
        </w:rPr>
      </w:pPr>
    </w:p>
    <w:p w:rsidR="004D418E" w:rsidRPr="004D418E" w:rsidRDefault="004D418E" w:rsidP="004D418E">
      <w:pPr>
        <w:pStyle w:val="a3"/>
        <w:shd w:val="clear" w:color="auto" w:fill="FFFFFF"/>
        <w:spacing w:line="600" w:lineRule="exact"/>
        <w:jc w:val="both"/>
        <w:rPr>
          <w:rFonts w:ascii="仿宋_GB2312" w:eastAsia="仿宋_GB2312" w:hAnsi="微软雅黑"/>
          <w:color w:val="4D4F53"/>
          <w:sz w:val="32"/>
          <w:szCs w:val="32"/>
        </w:rPr>
      </w:pPr>
      <w:r>
        <w:rPr>
          <w:rFonts w:ascii="仿宋_GB2312" w:eastAsia="仿宋_GB2312" w:hAnsi="微软雅黑" w:hint="eastAsia"/>
          <w:color w:val="4D4F53"/>
          <w:sz w:val="32"/>
          <w:szCs w:val="32"/>
        </w:rPr>
        <w:lastRenderedPageBreak/>
        <w:t>附件：</w:t>
      </w:r>
    </w:p>
    <w:p w:rsidR="004D418E" w:rsidRPr="004D418E" w:rsidRDefault="004D418E" w:rsidP="004D418E">
      <w:pPr>
        <w:pStyle w:val="a3"/>
        <w:shd w:val="clear" w:color="auto" w:fill="FFFFFF"/>
        <w:spacing w:line="600" w:lineRule="exact"/>
        <w:jc w:val="center"/>
        <w:rPr>
          <w:rFonts w:ascii="方正小标宋简体" w:eastAsia="方正小标宋简体" w:hAnsi="微软雅黑"/>
          <w:color w:val="4D4F53"/>
          <w:sz w:val="44"/>
          <w:szCs w:val="44"/>
        </w:rPr>
      </w:pPr>
      <w:r w:rsidRPr="004D418E">
        <w:rPr>
          <w:rFonts w:ascii="方正小标宋简体" w:eastAsia="方正小标宋简体" w:hAnsi="微软雅黑" w:hint="eastAsia"/>
          <w:color w:val="4D4F53"/>
          <w:sz w:val="44"/>
          <w:szCs w:val="44"/>
        </w:rPr>
        <w:t>第二季度“双随机、</w:t>
      </w:r>
      <w:proofErr w:type="gramStart"/>
      <w:r w:rsidRPr="004D418E">
        <w:rPr>
          <w:rFonts w:ascii="方正小标宋简体" w:eastAsia="方正小标宋简体" w:hAnsi="微软雅黑" w:hint="eastAsia"/>
          <w:color w:val="4D4F53"/>
          <w:sz w:val="44"/>
          <w:szCs w:val="44"/>
        </w:rPr>
        <w:t>一</w:t>
      </w:r>
      <w:proofErr w:type="gramEnd"/>
      <w:r w:rsidRPr="004D418E">
        <w:rPr>
          <w:rFonts w:ascii="方正小标宋简体" w:eastAsia="方正小标宋简体" w:hAnsi="微软雅黑" w:hint="eastAsia"/>
          <w:color w:val="4D4F53"/>
          <w:sz w:val="44"/>
          <w:szCs w:val="44"/>
        </w:rPr>
        <w:t>公开”抽查律师事务所名单及抽查人员名单</w:t>
      </w: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抽查律师事务所名单</w:t>
      </w: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proofErr w:type="gramStart"/>
      <w:r w:rsidRPr="004D418E">
        <w:rPr>
          <w:rFonts w:ascii="仿宋_GB2312" w:eastAsia="仿宋_GB2312" w:hAnsi="微软雅黑" w:hint="eastAsia"/>
          <w:color w:val="4D4F53"/>
          <w:sz w:val="32"/>
          <w:szCs w:val="32"/>
        </w:rPr>
        <w:t>坤威</w:t>
      </w:r>
      <w:proofErr w:type="gramEnd"/>
      <w:r w:rsidRPr="004D418E">
        <w:rPr>
          <w:rFonts w:ascii="仿宋_GB2312" w:eastAsia="仿宋_GB2312" w:hAnsi="微软雅黑" w:hint="eastAsia"/>
          <w:color w:val="4D4F53"/>
          <w:sz w:val="32"/>
          <w:szCs w:val="32"/>
        </w:rPr>
        <w:t xml:space="preserve"> 瑞</w:t>
      </w:r>
      <w:r w:rsidRPr="004D418E">
        <w:rPr>
          <w:rFonts w:ascii="微软雅黑" w:eastAsia="微软雅黑" w:hAnsi="微软雅黑" w:cs="微软雅黑" w:hint="eastAsia"/>
          <w:color w:val="4D4F53"/>
          <w:sz w:val="32"/>
          <w:szCs w:val="32"/>
        </w:rPr>
        <w:t>垚</w:t>
      </w:r>
      <w:r w:rsidRPr="004D418E">
        <w:rPr>
          <w:rFonts w:ascii="仿宋_GB2312" w:eastAsia="仿宋_GB2312" w:hAnsi="微软雅黑" w:hint="eastAsia"/>
          <w:color w:val="4D4F53"/>
          <w:sz w:val="32"/>
          <w:szCs w:val="32"/>
        </w:rPr>
        <w:t xml:space="preserve"> 律云 京师 </w:t>
      </w:r>
      <w:proofErr w:type="gramStart"/>
      <w:r w:rsidRPr="004D418E">
        <w:rPr>
          <w:rFonts w:ascii="仿宋_GB2312" w:eastAsia="仿宋_GB2312" w:hAnsi="微软雅黑" w:hint="eastAsia"/>
          <w:color w:val="4D4F53"/>
          <w:sz w:val="32"/>
          <w:szCs w:val="32"/>
        </w:rPr>
        <w:t>滨悦</w:t>
      </w:r>
      <w:proofErr w:type="gramEnd"/>
      <w:r w:rsidRPr="004D418E">
        <w:rPr>
          <w:rFonts w:ascii="仿宋_GB2312" w:eastAsia="仿宋_GB2312" w:hAnsi="微软雅黑" w:hint="eastAsia"/>
          <w:color w:val="4D4F53"/>
          <w:sz w:val="32"/>
          <w:szCs w:val="32"/>
        </w:rPr>
        <w:t xml:space="preserve"> </w:t>
      </w:r>
      <w:proofErr w:type="gramStart"/>
      <w:r w:rsidRPr="004D418E">
        <w:rPr>
          <w:rFonts w:ascii="仿宋_GB2312" w:eastAsia="仿宋_GB2312" w:hAnsi="微软雅黑" w:hint="eastAsia"/>
          <w:color w:val="4D4F53"/>
          <w:sz w:val="32"/>
          <w:szCs w:val="32"/>
        </w:rPr>
        <w:t>津滨正通</w:t>
      </w:r>
      <w:proofErr w:type="gramEnd"/>
      <w:r w:rsidRPr="004D418E">
        <w:rPr>
          <w:rFonts w:ascii="仿宋_GB2312" w:eastAsia="仿宋_GB2312" w:hAnsi="微软雅黑" w:hint="eastAsia"/>
          <w:color w:val="4D4F53"/>
          <w:sz w:val="32"/>
          <w:szCs w:val="32"/>
        </w:rPr>
        <w:t xml:space="preserve"> </w:t>
      </w:r>
      <w:proofErr w:type="gramStart"/>
      <w:r w:rsidRPr="004D418E">
        <w:rPr>
          <w:rFonts w:ascii="仿宋_GB2312" w:eastAsia="仿宋_GB2312" w:hAnsi="微软雅黑" w:hint="eastAsia"/>
          <w:color w:val="4D4F53"/>
          <w:sz w:val="32"/>
          <w:szCs w:val="32"/>
        </w:rPr>
        <w:t>睦</w:t>
      </w:r>
      <w:proofErr w:type="gramEnd"/>
      <w:r w:rsidRPr="004D418E">
        <w:rPr>
          <w:rFonts w:ascii="仿宋_GB2312" w:eastAsia="仿宋_GB2312" w:hAnsi="微软雅黑" w:hint="eastAsia"/>
          <w:color w:val="4D4F53"/>
          <w:sz w:val="32"/>
          <w:szCs w:val="32"/>
        </w:rPr>
        <w:t>宁 中岳 敬东 滨法</w:t>
      </w: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proofErr w:type="gramStart"/>
      <w:r w:rsidRPr="004D418E">
        <w:rPr>
          <w:rFonts w:ascii="仿宋_GB2312" w:eastAsia="仿宋_GB2312" w:hAnsi="微软雅黑" w:hint="eastAsia"/>
          <w:color w:val="4D4F53"/>
          <w:sz w:val="32"/>
          <w:szCs w:val="32"/>
        </w:rPr>
        <w:t>河北衡泰</w:t>
      </w:r>
      <w:proofErr w:type="gramEnd"/>
      <w:r w:rsidRPr="004D418E">
        <w:rPr>
          <w:rFonts w:ascii="仿宋_GB2312" w:eastAsia="仿宋_GB2312" w:hAnsi="微软雅黑" w:hint="eastAsia"/>
          <w:color w:val="4D4F53"/>
          <w:sz w:val="32"/>
          <w:szCs w:val="32"/>
        </w:rPr>
        <w:t xml:space="preserve"> 滨海 </w:t>
      </w:r>
      <w:proofErr w:type="gramStart"/>
      <w:r w:rsidRPr="004D418E">
        <w:rPr>
          <w:rFonts w:ascii="仿宋_GB2312" w:eastAsia="仿宋_GB2312" w:hAnsi="微软雅黑" w:hint="eastAsia"/>
          <w:color w:val="4D4F53"/>
          <w:sz w:val="32"/>
          <w:szCs w:val="32"/>
        </w:rPr>
        <w:t>七略</w:t>
      </w:r>
      <w:proofErr w:type="gramEnd"/>
      <w:r w:rsidRPr="004D418E">
        <w:rPr>
          <w:rFonts w:ascii="仿宋_GB2312" w:eastAsia="仿宋_GB2312" w:hAnsi="微软雅黑" w:hint="eastAsia"/>
          <w:color w:val="4D4F53"/>
          <w:sz w:val="32"/>
          <w:szCs w:val="32"/>
        </w:rPr>
        <w:t xml:space="preserve"> 纳</w:t>
      </w:r>
      <w:proofErr w:type="gramStart"/>
      <w:r w:rsidRPr="004D418E">
        <w:rPr>
          <w:rFonts w:ascii="仿宋_GB2312" w:eastAsia="仿宋_GB2312" w:hAnsi="微软雅黑" w:hint="eastAsia"/>
          <w:color w:val="4D4F53"/>
          <w:sz w:val="32"/>
          <w:szCs w:val="32"/>
        </w:rPr>
        <w:t>淼</w:t>
      </w:r>
      <w:proofErr w:type="gramEnd"/>
      <w:r w:rsidRPr="004D418E">
        <w:rPr>
          <w:rFonts w:ascii="仿宋_GB2312" w:eastAsia="仿宋_GB2312" w:hAnsi="微软雅黑" w:hint="eastAsia"/>
          <w:color w:val="4D4F53"/>
          <w:sz w:val="32"/>
          <w:szCs w:val="32"/>
        </w:rPr>
        <w:t xml:space="preserve"> 开元 </w:t>
      </w:r>
      <w:proofErr w:type="gramStart"/>
      <w:r w:rsidRPr="004D418E">
        <w:rPr>
          <w:rFonts w:ascii="仿宋_GB2312" w:eastAsia="仿宋_GB2312" w:hAnsi="微软雅黑" w:hint="eastAsia"/>
          <w:color w:val="4D4F53"/>
          <w:sz w:val="32"/>
          <w:szCs w:val="32"/>
        </w:rPr>
        <w:t>瀚</w:t>
      </w:r>
      <w:proofErr w:type="gramEnd"/>
      <w:r w:rsidRPr="004D418E">
        <w:rPr>
          <w:rFonts w:ascii="仿宋_GB2312" w:eastAsia="仿宋_GB2312" w:hAnsi="微软雅黑" w:hint="eastAsia"/>
          <w:color w:val="4D4F53"/>
          <w:sz w:val="32"/>
          <w:szCs w:val="32"/>
        </w:rPr>
        <w:t xml:space="preserve">洋（滨海） </w:t>
      </w:r>
      <w:proofErr w:type="gramStart"/>
      <w:r w:rsidRPr="004D418E">
        <w:rPr>
          <w:rFonts w:ascii="仿宋_GB2312" w:eastAsia="仿宋_GB2312" w:hAnsi="微软雅黑" w:hint="eastAsia"/>
          <w:color w:val="4D4F53"/>
          <w:sz w:val="32"/>
          <w:szCs w:val="32"/>
        </w:rPr>
        <w:t>众航</w:t>
      </w:r>
      <w:proofErr w:type="gramEnd"/>
      <w:r w:rsidRPr="004D418E">
        <w:rPr>
          <w:rFonts w:ascii="仿宋_GB2312" w:eastAsia="仿宋_GB2312" w:hAnsi="微软雅黑" w:hint="eastAsia"/>
          <w:color w:val="4D4F53"/>
          <w:sz w:val="32"/>
          <w:szCs w:val="32"/>
        </w:rPr>
        <w:t xml:space="preserve"> 中盛</w:t>
      </w: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 xml:space="preserve">张盈（滨海） 尚淼 上海中派 政联 </w:t>
      </w:r>
      <w:proofErr w:type="gramStart"/>
      <w:r w:rsidRPr="004D418E">
        <w:rPr>
          <w:rFonts w:ascii="仿宋_GB2312" w:eastAsia="仿宋_GB2312" w:hAnsi="微软雅黑" w:hint="eastAsia"/>
          <w:color w:val="4D4F53"/>
          <w:sz w:val="32"/>
          <w:szCs w:val="32"/>
        </w:rPr>
        <w:t>圣运 敬科</w:t>
      </w:r>
      <w:proofErr w:type="gramEnd"/>
      <w:r w:rsidRPr="004D418E">
        <w:rPr>
          <w:rFonts w:ascii="仿宋_GB2312" w:eastAsia="仿宋_GB2312" w:hAnsi="微软雅黑" w:hint="eastAsia"/>
          <w:color w:val="4D4F53"/>
          <w:sz w:val="32"/>
          <w:szCs w:val="32"/>
        </w:rPr>
        <w:t xml:space="preserve"> 德恒 金三维</w:t>
      </w: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滨</w:t>
      </w:r>
      <w:proofErr w:type="gramStart"/>
      <w:r w:rsidRPr="004D418E">
        <w:rPr>
          <w:rFonts w:ascii="仿宋_GB2312" w:eastAsia="仿宋_GB2312" w:hAnsi="微软雅黑" w:hint="eastAsia"/>
          <w:color w:val="4D4F53"/>
          <w:sz w:val="32"/>
          <w:szCs w:val="32"/>
        </w:rPr>
        <w:t>郝</w:t>
      </w:r>
      <w:proofErr w:type="gramEnd"/>
      <w:r w:rsidRPr="004D418E">
        <w:rPr>
          <w:rFonts w:ascii="仿宋_GB2312" w:eastAsia="仿宋_GB2312" w:hAnsi="微软雅黑" w:hint="eastAsia"/>
          <w:color w:val="4D4F53"/>
          <w:sz w:val="32"/>
          <w:szCs w:val="32"/>
        </w:rPr>
        <w:t xml:space="preserve"> </w:t>
      </w:r>
      <w:proofErr w:type="gramStart"/>
      <w:r w:rsidRPr="004D418E">
        <w:rPr>
          <w:rFonts w:ascii="仿宋_GB2312" w:eastAsia="仿宋_GB2312" w:hAnsi="微软雅黑" w:hint="eastAsia"/>
          <w:color w:val="4D4F53"/>
          <w:sz w:val="32"/>
          <w:szCs w:val="32"/>
        </w:rPr>
        <w:t>百博 晟昊</w:t>
      </w:r>
      <w:proofErr w:type="gramEnd"/>
      <w:r w:rsidRPr="004D418E">
        <w:rPr>
          <w:rFonts w:ascii="仿宋_GB2312" w:eastAsia="仿宋_GB2312" w:hAnsi="微软雅黑" w:hint="eastAsia"/>
          <w:color w:val="4D4F53"/>
          <w:sz w:val="32"/>
          <w:szCs w:val="32"/>
        </w:rPr>
        <w:t xml:space="preserve"> 攀高</w:t>
      </w:r>
    </w:p>
    <w:p w:rsid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r w:rsidRPr="004D418E">
        <w:rPr>
          <w:rFonts w:ascii="仿宋_GB2312" w:eastAsia="仿宋_GB2312" w:hAnsi="微软雅黑" w:hint="eastAsia"/>
          <w:color w:val="4D4F53"/>
          <w:sz w:val="32"/>
          <w:szCs w:val="32"/>
        </w:rPr>
        <w:t>抽查人员名单</w:t>
      </w:r>
    </w:p>
    <w:p w:rsidR="004D418E" w:rsidRPr="004D418E" w:rsidRDefault="004D418E" w:rsidP="004D418E">
      <w:pPr>
        <w:pStyle w:val="a3"/>
        <w:shd w:val="clear" w:color="auto" w:fill="FFFFFF"/>
        <w:spacing w:line="600" w:lineRule="exact"/>
        <w:ind w:firstLine="480"/>
        <w:jc w:val="both"/>
        <w:rPr>
          <w:rFonts w:ascii="仿宋_GB2312" w:eastAsia="仿宋_GB2312" w:hAnsi="微软雅黑"/>
          <w:color w:val="4D4F53"/>
          <w:sz w:val="32"/>
          <w:szCs w:val="32"/>
        </w:rPr>
      </w:pPr>
    </w:p>
    <w:p w:rsidR="004D418E" w:rsidRPr="004D418E" w:rsidRDefault="004D418E" w:rsidP="004D418E">
      <w:pPr>
        <w:pStyle w:val="a3"/>
        <w:shd w:val="clear" w:color="auto" w:fill="FFFFFF"/>
        <w:spacing w:line="600" w:lineRule="exact"/>
        <w:ind w:firstLine="480"/>
        <w:jc w:val="both"/>
        <w:rPr>
          <w:rFonts w:ascii="仿宋_GB2312" w:eastAsia="仿宋_GB2312"/>
          <w:sz w:val="32"/>
          <w:szCs w:val="32"/>
        </w:rPr>
      </w:pPr>
      <w:r w:rsidRPr="004D418E">
        <w:rPr>
          <w:rFonts w:ascii="仿宋_GB2312" w:eastAsia="仿宋_GB2312" w:hAnsi="微软雅黑" w:hint="eastAsia"/>
          <w:color w:val="4D4F53"/>
          <w:sz w:val="32"/>
          <w:szCs w:val="32"/>
        </w:rPr>
        <w:t xml:space="preserve">董云飞 刘振东 </w:t>
      </w:r>
      <w:proofErr w:type="gramStart"/>
      <w:r w:rsidRPr="004D418E">
        <w:rPr>
          <w:rFonts w:ascii="仿宋_GB2312" w:eastAsia="仿宋_GB2312" w:hAnsi="微软雅黑" w:hint="eastAsia"/>
          <w:color w:val="4D4F53"/>
          <w:sz w:val="32"/>
          <w:szCs w:val="32"/>
        </w:rPr>
        <w:t>赵广申</w:t>
      </w:r>
      <w:proofErr w:type="gramEnd"/>
      <w:r w:rsidRPr="004D418E">
        <w:rPr>
          <w:rFonts w:ascii="仿宋_GB2312" w:eastAsia="仿宋_GB2312" w:hAnsi="微软雅黑" w:hint="eastAsia"/>
          <w:color w:val="4D4F53"/>
          <w:sz w:val="32"/>
          <w:szCs w:val="32"/>
        </w:rPr>
        <w:t xml:space="preserve"> 江保国 </w:t>
      </w:r>
      <w:proofErr w:type="gramStart"/>
      <w:r w:rsidRPr="004D418E">
        <w:rPr>
          <w:rFonts w:ascii="仿宋_GB2312" w:eastAsia="仿宋_GB2312" w:hAnsi="微软雅黑" w:hint="eastAsia"/>
          <w:color w:val="4D4F53"/>
          <w:sz w:val="32"/>
          <w:szCs w:val="32"/>
        </w:rPr>
        <w:t>魏胜国</w:t>
      </w:r>
      <w:proofErr w:type="gramEnd"/>
      <w:r w:rsidRPr="004D418E">
        <w:rPr>
          <w:rFonts w:ascii="仿宋_GB2312" w:eastAsia="仿宋_GB2312" w:hAnsi="微软雅黑" w:hint="eastAsia"/>
          <w:color w:val="4D4F53"/>
          <w:sz w:val="32"/>
          <w:szCs w:val="32"/>
        </w:rPr>
        <w:t xml:space="preserve"> 石小玲 于宝莉 李岩峰 王秀兰 刘文彬 佟雅楠 白 </w:t>
      </w:r>
      <w:proofErr w:type="gramStart"/>
      <w:r w:rsidRPr="004D418E">
        <w:rPr>
          <w:rFonts w:ascii="仿宋_GB2312" w:eastAsia="仿宋_GB2312" w:hAnsi="微软雅黑" w:hint="eastAsia"/>
          <w:color w:val="4D4F53"/>
          <w:sz w:val="32"/>
          <w:szCs w:val="32"/>
        </w:rPr>
        <w:t>婷</w:t>
      </w:r>
      <w:proofErr w:type="gramEnd"/>
    </w:p>
    <w:sectPr w:rsidR="004D418E" w:rsidRPr="004D418E" w:rsidSect="004D418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2"/>
    <w:rsid w:val="00012E4A"/>
    <w:rsid w:val="001260E0"/>
    <w:rsid w:val="004D418E"/>
    <w:rsid w:val="00A709EF"/>
    <w:rsid w:val="00F7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EF03"/>
  <w15:chartTrackingRefBased/>
  <w15:docId w15:val="{D5FD302F-3179-4927-863D-34443E8E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18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4D418E"/>
    <w:pPr>
      <w:ind w:leftChars="2500" w:left="100"/>
    </w:pPr>
  </w:style>
  <w:style w:type="character" w:customStyle="1" w:styleId="a5">
    <w:name w:val="日期 字符"/>
    <w:basedOn w:val="a0"/>
    <w:link w:val="a4"/>
    <w:uiPriority w:val="99"/>
    <w:semiHidden/>
    <w:rsid w:val="004D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5</cp:revision>
  <dcterms:created xsi:type="dcterms:W3CDTF">2021-09-28T08:14:00Z</dcterms:created>
  <dcterms:modified xsi:type="dcterms:W3CDTF">2021-09-30T06:38:00Z</dcterms:modified>
</cp:coreProperties>
</file>